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B5" w:rsidRDefault="00F016B5" w:rsidP="00FF18AD">
      <w:pPr>
        <w:pStyle w:val="Title"/>
        <w:rPr>
          <w:rFonts w:ascii="Arial" w:hAnsi="Arial" w:cs="Arial"/>
        </w:rPr>
      </w:pPr>
    </w:p>
    <w:p w:rsidR="00FF18AD" w:rsidRPr="00E74072" w:rsidRDefault="00FF18AD" w:rsidP="00FF18AD">
      <w:pPr>
        <w:pStyle w:val="Title"/>
        <w:rPr>
          <w:rFonts w:ascii="Times New Roman" w:hAnsi="Times New Roman"/>
          <w:sz w:val="28"/>
          <w:szCs w:val="28"/>
        </w:rPr>
      </w:pPr>
      <w:r w:rsidRPr="00E74072">
        <w:rPr>
          <w:rFonts w:ascii="Times New Roman" w:hAnsi="Times New Roman"/>
          <w:sz w:val="28"/>
          <w:szCs w:val="28"/>
        </w:rPr>
        <w:t>О Б Р А З Л О Ж Е Њ Е</w:t>
      </w:r>
    </w:p>
    <w:p w:rsidR="00FF18AD" w:rsidRPr="005E686E" w:rsidRDefault="005E686E" w:rsidP="00FF18AD">
      <w:pPr>
        <w:pStyle w:val="Heading1"/>
        <w:tabs>
          <w:tab w:val="left" w:pos="0"/>
        </w:tabs>
        <w:jc w:val="center"/>
        <w:rPr>
          <w:rFonts w:ascii="Times New Roman" w:hAnsi="Times New Roman"/>
          <w:sz w:val="28"/>
          <w:szCs w:val="28"/>
        </w:rPr>
      </w:pPr>
      <w:r>
        <w:rPr>
          <w:rFonts w:ascii="Times New Roman" w:hAnsi="Times New Roman"/>
          <w:b/>
          <w:sz w:val="28"/>
          <w:szCs w:val="28"/>
        </w:rPr>
        <w:t xml:space="preserve">    Одлуке  о изменама</w:t>
      </w:r>
      <w:r w:rsidR="00FF18AD" w:rsidRPr="00E74072">
        <w:rPr>
          <w:rFonts w:ascii="Times New Roman" w:hAnsi="Times New Roman"/>
          <w:b/>
          <w:sz w:val="28"/>
          <w:szCs w:val="28"/>
        </w:rPr>
        <w:t xml:space="preserve"> </w:t>
      </w:r>
      <w:r w:rsidR="002560FD" w:rsidRPr="00E74072">
        <w:rPr>
          <w:rFonts w:ascii="Times New Roman" w:hAnsi="Times New Roman"/>
          <w:b/>
          <w:sz w:val="28"/>
          <w:szCs w:val="28"/>
        </w:rPr>
        <w:t>и  допун</w:t>
      </w:r>
      <w:bookmarkStart w:id="0" w:name="_GoBack"/>
      <w:bookmarkEnd w:id="0"/>
      <w:r>
        <w:rPr>
          <w:rFonts w:ascii="Times New Roman" w:hAnsi="Times New Roman"/>
          <w:b/>
          <w:sz w:val="28"/>
          <w:szCs w:val="28"/>
        </w:rPr>
        <w:t>ама</w:t>
      </w:r>
    </w:p>
    <w:p w:rsidR="00FF18AD" w:rsidRPr="00E74072" w:rsidRDefault="00FF18AD" w:rsidP="00FF18AD">
      <w:pPr>
        <w:pStyle w:val="Heading1"/>
        <w:tabs>
          <w:tab w:val="left" w:pos="0"/>
        </w:tabs>
        <w:jc w:val="center"/>
        <w:rPr>
          <w:rFonts w:ascii="Times New Roman" w:hAnsi="Times New Roman"/>
          <w:sz w:val="28"/>
          <w:szCs w:val="28"/>
        </w:rPr>
      </w:pPr>
      <w:r w:rsidRPr="00E74072">
        <w:rPr>
          <w:rFonts w:ascii="Times New Roman" w:hAnsi="Times New Roman"/>
          <w:b/>
          <w:sz w:val="28"/>
          <w:szCs w:val="28"/>
        </w:rPr>
        <w:t>Одлуке о буџету општине Књажевац  за 20</w:t>
      </w:r>
      <w:r w:rsidR="008D06A3">
        <w:rPr>
          <w:rFonts w:ascii="Times New Roman" w:hAnsi="Times New Roman"/>
          <w:b/>
          <w:sz w:val="28"/>
          <w:szCs w:val="28"/>
          <w:lang w:val="sr-Latn-CS"/>
        </w:rPr>
        <w:t>2</w:t>
      </w:r>
      <w:r w:rsidR="005E686E">
        <w:rPr>
          <w:rFonts w:ascii="Times New Roman" w:hAnsi="Times New Roman"/>
          <w:b/>
          <w:sz w:val="28"/>
          <w:szCs w:val="28"/>
          <w:lang w:val="sr-Latn-CS"/>
        </w:rPr>
        <w:t>1</w:t>
      </w:r>
      <w:r w:rsidRPr="00E74072">
        <w:rPr>
          <w:rFonts w:ascii="Times New Roman" w:hAnsi="Times New Roman"/>
          <w:b/>
          <w:sz w:val="28"/>
          <w:szCs w:val="28"/>
        </w:rPr>
        <w:t>. годину</w:t>
      </w:r>
      <w:r w:rsidRPr="00E74072">
        <w:rPr>
          <w:rFonts w:ascii="Times New Roman" w:hAnsi="Times New Roman"/>
          <w:sz w:val="28"/>
          <w:szCs w:val="28"/>
        </w:rPr>
        <w:t xml:space="preserve">        </w:t>
      </w:r>
    </w:p>
    <w:p w:rsidR="00FF18AD" w:rsidRPr="007047BC" w:rsidRDefault="00FF18AD" w:rsidP="00FF18AD"/>
    <w:p w:rsidR="00FF18AD" w:rsidRPr="007047BC" w:rsidRDefault="00FF18AD" w:rsidP="00FF18AD">
      <w:pPr>
        <w:rPr>
          <w:sz w:val="22"/>
          <w:szCs w:val="22"/>
        </w:rPr>
      </w:pPr>
    </w:p>
    <w:p w:rsidR="00FF18AD" w:rsidRDefault="00FF18AD" w:rsidP="0064415A">
      <w:pPr>
        <w:ind w:firstLine="709"/>
        <w:jc w:val="both"/>
        <w:rPr>
          <w:rFonts w:ascii="Tahoma" w:eastAsia="Times New Roman" w:hAnsi="Tahoma" w:cs="Tahoma"/>
          <w:sz w:val="20"/>
          <w:szCs w:val="20"/>
          <w:lang w:val="sr-Latn-CS"/>
        </w:rPr>
      </w:pPr>
      <w:r w:rsidRPr="006E3044">
        <w:rPr>
          <w:rFonts w:ascii="Tahoma" w:hAnsi="Tahoma" w:cs="Tahoma"/>
          <w:sz w:val="20"/>
          <w:szCs w:val="20"/>
        </w:rPr>
        <w:t xml:space="preserve"> Ребаланс буџета је, према дефиницији уређеној чланом 2. Став 1. Тачка  30) Закона о буџетском систему </w:t>
      </w:r>
      <w:r w:rsidRPr="006E3044">
        <w:rPr>
          <w:rFonts w:ascii="Tahoma" w:eastAsia="Times New Roman" w:hAnsi="Tahoma" w:cs="Tahoma"/>
          <w:sz w:val="20"/>
          <w:szCs w:val="20"/>
        </w:rPr>
        <w:t>( "Сл. гласник РС", број  54/2009 , 73/2010 , 101/2010, 101/2011, 93/2012, 62/2013, 63/2013-испр., 108/2013, 142/20</w:t>
      </w:r>
      <w:r w:rsidR="0075079C" w:rsidRPr="006E3044">
        <w:rPr>
          <w:rFonts w:ascii="Tahoma" w:eastAsia="Times New Roman" w:hAnsi="Tahoma" w:cs="Tahoma"/>
          <w:sz w:val="20"/>
          <w:szCs w:val="20"/>
        </w:rPr>
        <w:t xml:space="preserve">14, 68/2015-др. закон, 103/2015, </w:t>
      </w:r>
      <w:r w:rsidRPr="006E3044">
        <w:rPr>
          <w:rFonts w:ascii="Tahoma" w:eastAsia="Times New Roman" w:hAnsi="Tahoma" w:cs="Tahoma"/>
          <w:sz w:val="20"/>
          <w:szCs w:val="20"/>
        </w:rPr>
        <w:t xml:space="preserve"> 99/2016</w:t>
      </w:r>
      <w:r w:rsidR="00251254" w:rsidRPr="006E3044">
        <w:rPr>
          <w:rFonts w:ascii="Tahoma" w:eastAsia="Times New Roman" w:hAnsi="Tahoma" w:cs="Tahoma"/>
          <w:sz w:val="20"/>
          <w:szCs w:val="20"/>
        </w:rPr>
        <w:t>,</w:t>
      </w:r>
      <w:r w:rsidR="0075079C" w:rsidRPr="006E3044">
        <w:rPr>
          <w:rFonts w:ascii="Tahoma" w:eastAsia="Times New Roman" w:hAnsi="Tahoma" w:cs="Tahoma"/>
          <w:sz w:val="20"/>
          <w:szCs w:val="20"/>
        </w:rPr>
        <w:t xml:space="preserve"> 113/2017</w:t>
      </w:r>
      <w:r w:rsidR="002256E5" w:rsidRPr="006E3044">
        <w:rPr>
          <w:rFonts w:ascii="Tahoma" w:eastAsia="Times New Roman" w:hAnsi="Tahoma" w:cs="Tahoma"/>
          <w:sz w:val="20"/>
          <w:szCs w:val="20"/>
        </w:rPr>
        <w:t>, 95/2018,</w:t>
      </w:r>
      <w:r w:rsidR="00251254" w:rsidRPr="006E3044">
        <w:rPr>
          <w:rFonts w:ascii="Tahoma" w:eastAsia="Times New Roman" w:hAnsi="Tahoma" w:cs="Tahoma"/>
          <w:sz w:val="20"/>
          <w:szCs w:val="20"/>
        </w:rPr>
        <w:t xml:space="preserve"> 31/2019</w:t>
      </w:r>
      <w:r w:rsidR="005E686E">
        <w:rPr>
          <w:rFonts w:ascii="Tahoma" w:eastAsia="Times New Roman" w:hAnsi="Tahoma" w:cs="Tahoma"/>
          <w:sz w:val="20"/>
          <w:szCs w:val="20"/>
        </w:rPr>
        <w:t>,</w:t>
      </w:r>
      <w:r w:rsidR="002256E5" w:rsidRPr="006E3044">
        <w:rPr>
          <w:rFonts w:ascii="Tahoma" w:eastAsia="Times New Roman" w:hAnsi="Tahoma" w:cs="Tahoma"/>
          <w:sz w:val="20"/>
          <w:szCs w:val="20"/>
        </w:rPr>
        <w:t xml:space="preserve"> 72/2019</w:t>
      </w:r>
      <w:r w:rsidR="005E686E">
        <w:rPr>
          <w:rFonts w:ascii="Tahoma" w:eastAsia="Times New Roman" w:hAnsi="Tahoma" w:cs="Tahoma"/>
          <w:sz w:val="20"/>
          <w:szCs w:val="20"/>
        </w:rPr>
        <w:t xml:space="preserve"> и 149/2020</w:t>
      </w:r>
      <w:r w:rsidR="00251254" w:rsidRPr="006E3044">
        <w:rPr>
          <w:rFonts w:ascii="Tahoma" w:eastAsia="Times New Roman" w:hAnsi="Tahoma" w:cs="Tahoma"/>
          <w:sz w:val="20"/>
          <w:szCs w:val="20"/>
        </w:rPr>
        <w:t>)</w:t>
      </w:r>
      <w:r w:rsidRPr="006E3044">
        <w:rPr>
          <w:rFonts w:ascii="Tahoma" w:eastAsia="Times New Roman" w:hAnsi="Tahoma" w:cs="Tahoma"/>
          <w:sz w:val="20"/>
          <w:szCs w:val="20"/>
        </w:rPr>
        <w:t xml:space="preserve">, промена одлуке о буџету локалне власти у току буџетске године, којом се мења, односно допуњује буџет. </w:t>
      </w:r>
      <w:r w:rsidRPr="006E3044">
        <w:rPr>
          <w:rFonts w:ascii="Tahoma" w:eastAsia="Times New Roman" w:hAnsi="Tahoma" w:cs="Tahoma"/>
          <w:sz w:val="20"/>
          <w:szCs w:val="20"/>
          <w:lang w:val="sr-Latn-CS"/>
        </w:rPr>
        <w:t xml:space="preserve"> </w:t>
      </w:r>
      <w:r w:rsidRPr="006E3044">
        <w:rPr>
          <w:rFonts w:ascii="Tahoma" w:eastAsia="Times New Roman" w:hAnsi="Tahoma" w:cs="Tahoma"/>
          <w:sz w:val="20"/>
          <w:szCs w:val="20"/>
        </w:rPr>
        <w:t xml:space="preserve">Чланом 63. Закона предвиђено је да се ребалансом буџета врши усклађивање прихода и расхода буџета на нижем, вишем или истом нивоу. </w:t>
      </w:r>
    </w:p>
    <w:p w:rsidR="00E44CC4" w:rsidRDefault="00E44CC4" w:rsidP="00E44CC4">
      <w:pPr>
        <w:ind w:firstLine="709"/>
        <w:rPr>
          <w:rFonts w:ascii="Tahoma" w:hAnsi="Tahoma" w:cs="Tahoma"/>
          <w:sz w:val="20"/>
          <w:szCs w:val="20"/>
        </w:rPr>
      </w:pPr>
      <w:r>
        <w:rPr>
          <w:rFonts w:ascii="Tahoma" w:hAnsi="Tahoma" w:cs="Tahoma"/>
          <w:sz w:val="20"/>
          <w:szCs w:val="20"/>
        </w:rPr>
        <w:t>Одлука</w:t>
      </w:r>
      <w:r w:rsidR="008D06A3" w:rsidRPr="00EB2F34">
        <w:rPr>
          <w:rFonts w:ascii="Tahoma" w:hAnsi="Tahoma" w:cs="Tahoma"/>
          <w:sz w:val="20"/>
          <w:szCs w:val="20"/>
        </w:rPr>
        <w:t xml:space="preserve"> о буџету општине Књажевац за 20</w:t>
      </w:r>
      <w:r w:rsidR="008D06A3">
        <w:rPr>
          <w:rFonts w:ascii="Tahoma" w:hAnsi="Tahoma" w:cs="Tahoma"/>
          <w:sz w:val="20"/>
          <w:szCs w:val="20"/>
        </w:rPr>
        <w:t>2</w:t>
      </w:r>
      <w:r w:rsidR="005E686E">
        <w:rPr>
          <w:rFonts w:ascii="Tahoma" w:hAnsi="Tahoma" w:cs="Tahoma"/>
          <w:sz w:val="20"/>
          <w:szCs w:val="20"/>
        </w:rPr>
        <w:t>1</w:t>
      </w:r>
      <w:r w:rsidR="008D06A3" w:rsidRPr="00EB2F34">
        <w:rPr>
          <w:rFonts w:ascii="Tahoma" w:hAnsi="Tahoma" w:cs="Tahoma"/>
          <w:sz w:val="20"/>
          <w:szCs w:val="20"/>
        </w:rPr>
        <w:t xml:space="preserve">. годину </w:t>
      </w:r>
      <w:r w:rsidR="008D06A3">
        <w:rPr>
          <w:rFonts w:ascii="Tahoma" w:hAnsi="Tahoma" w:cs="Tahoma"/>
          <w:sz w:val="20"/>
          <w:szCs w:val="20"/>
        </w:rPr>
        <w:t xml:space="preserve">коју је донела </w:t>
      </w:r>
      <w:r w:rsidR="008D06A3" w:rsidRPr="00EB2F34">
        <w:rPr>
          <w:rFonts w:ascii="Tahoma" w:hAnsi="Tahoma" w:cs="Tahoma"/>
          <w:sz w:val="20"/>
          <w:szCs w:val="20"/>
        </w:rPr>
        <w:t xml:space="preserve"> Скупштина општине на седници одржаној дана  </w:t>
      </w:r>
      <w:r w:rsidR="005E686E">
        <w:rPr>
          <w:rFonts w:ascii="Tahoma" w:hAnsi="Tahoma" w:cs="Tahoma"/>
          <w:sz w:val="20"/>
          <w:szCs w:val="20"/>
        </w:rPr>
        <w:t>18</w:t>
      </w:r>
      <w:r w:rsidR="008D06A3" w:rsidRPr="00EB2F34">
        <w:rPr>
          <w:rFonts w:ascii="Tahoma" w:hAnsi="Tahoma" w:cs="Tahoma"/>
          <w:sz w:val="20"/>
          <w:szCs w:val="20"/>
        </w:rPr>
        <w:t>.12.20</w:t>
      </w:r>
      <w:r w:rsidR="005E686E">
        <w:rPr>
          <w:rFonts w:ascii="Tahoma" w:hAnsi="Tahoma" w:cs="Tahoma"/>
          <w:sz w:val="20"/>
          <w:szCs w:val="20"/>
        </w:rPr>
        <w:t>20</w:t>
      </w:r>
      <w:r w:rsidR="008D06A3" w:rsidRPr="00EB2F34">
        <w:rPr>
          <w:rFonts w:ascii="Tahoma" w:hAnsi="Tahoma" w:cs="Tahoma"/>
          <w:sz w:val="20"/>
          <w:szCs w:val="20"/>
        </w:rPr>
        <w:t xml:space="preserve">. године („Службени лист општине Књажевац“, број </w:t>
      </w:r>
      <w:r w:rsidR="005E686E">
        <w:rPr>
          <w:rFonts w:ascii="Tahoma" w:hAnsi="Tahoma" w:cs="Tahoma"/>
          <w:sz w:val="20"/>
          <w:szCs w:val="20"/>
        </w:rPr>
        <w:t>31</w:t>
      </w:r>
      <w:r w:rsidR="008D06A3" w:rsidRPr="00EB2F34">
        <w:rPr>
          <w:rFonts w:ascii="Tahoma" w:hAnsi="Tahoma" w:cs="Tahoma"/>
          <w:sz w:val="20"/>
          <w:szCs w:val="20"/>
        </w:rPr>
        <w:t>/20</w:t>
      </w:r>
      <w:r w:rsidR="005E686E">
        <w:rPr>
          <w:rFonts w:ascii="Tahoma" w:hAnsi="Tahoma" w:cs="Tahoma"/>
          <w:sz w:val="20"/>
          <w:szCs w:val="20"/>
        </w:rPr>
        <w:t>20</w:t>
      </w:r>
      <w:r w:rsidR="008D06A3">
        <w:rPr>
          <w:rFonts w:ascii="Tahoma" w:hAnsi="Tahoma" w:cs="Tahoma"/>
          <w:sz w:val="20"/>
          <w:szCs w:val="20"/>
        </w:rPr>
        <w:t xml:space="preserve">), </w:t>
      </w:r>
      <w:r>
        <w:rPr>
          <w:rFonts w:ascii="Tahoma" w:hAnsi="Tahoma" w:cs="Tahoma"/>
          <w:sz w:val="20"/>
          <w:szCs w:val="20"/>
        </w:rPr>
        <w:t>је претрпела једну измену и допуну ради обухватања суфицита из претходне године, трансфера од другог нивоа власти, средства донације од међународних организација, као и обухватања свих измена на основу решења о коришћењу средстава текуће и сталне буџетске резерве.</w:t>
      </w:r>
    </w:p>
    <w:p w:rsidR="00E44CC4" w:rsidRPr="006A3D1E" w:rsidRDefault="00E44CC4" w:rsidP="008D06A3">
      <w:pPr>
        <w:ind w:firstLine="708"/>
        <w:rPr>
          <w:rFonts w:ascii="Tahoma" w:hAnsi="Tahoma" w:cs="Tahoma"/>
          <w:sz w:val="20"/>
          <w:szCs w:val="20"/>
        </w:rPr>
      </w:pPr>
    </w:p>
    <w:p w:rsidR="008D06A3" w:rsidRDefault="006E43EA" w:rsidP="00390F7E">
      <w:pPr>
        <w:ind w:firstLine="709"/>
        <w:rPr>
          <w:rFonts w:ascii="Tahoma" w:hAnsi="Tahoma" w:cs="Tahoma"/>
          <w:sz w:val="20"/>
          <w:szCs w:val="20"/>
          <w:lang w:val="sr-Latn-CS"/>
        </w:rPr>
      </w:pPr>
      <w:r>
        <w:rPr>
          <w:rFonts w:ascii="Tahoma" w:hAnsi="Tahoma" w:cs="Tahoma"/>
          <w:sz w:val="20"/>
          <w:szCs w:val="20"/>
        </w:rPr>
        <w:t>Сагледавањем извршења буџета за период јануар-август утврђено је да се поједини приходи остварују у већем проценту од планираних, док  код  неких прихода проценат остварења није довољан, тако да је овим ребалансом извршено усклађивање прихода као и расхода, у смислу да су поједине апропријације смањене (због уштеда приликом уговарања послова или смањења обима посла), док је код апропријација код којих се показало да нису  планиране у довољном износу  извршено повећање.</w:t>
      </w:r>
    </w:p>
    <w:p w:rsidR="008D06A3" w:rsidRDefault="00CC6BF7" w:rsidP="00390F7E">
      <w:pPr>
        <w:ind w:firstLine="709"/>
        <w:rPr>
          <w:rFonts w:ascii="Tahoma" w:hAnsi="Tahoma" w:cs="Tahoma"/>
          <w:sz w:val="20"/>
          <w:szCs w:val="20"/>
        </w:rPr>
      </w:pPr>
      <w:r>
        <w:rPr>
          <w:rFonts w:ascii="Tahoma" w:hAnsi="Tahoma" w:cs="Tahoma"/>
          <w:sz w:val="20"/>
          <w:szCs w:val="20"/>
        </w:rPr>
        <w:t xml:space="preserve"> </w:t>
      </w:r>
    </w:p>
    <w:p w:rsidR="00CC6BF7" w:rsidRDefault="00CC6BF7" w:rsidP="00CC6BF7">
      <w:pPr>
        <w:ind w:firstLine="709"/>
        <w:rPr>
          <w:rFonts w:ascii="Tahoma" w:hAnsi="Tahoma" w:cs="Tahoma"/>
          <w:sz w:val="20"/>
          <w:szCs w:val="20"/>
        </w:rPr>
      </w:pPr>
      <w:r>
        <w:rPr>
          <w:rFonts w:ascii="Tahoma" w:hAnsi="Tahoma" w:cs="Tahoma"/>
          <w:sz w:val="20"/>
          <w:szCs w:val="20"/>
        </w:rPr>
        <w:t xml:space="preserve">Овим </w:t>
      </w:r>
      <w:r w:rsidRPr="006E3044">
        <w:rPr>
          <w:rFonts w:ascii="Tahoma" w:hAnsi="Tahoma" w:cs="Tahoma"/>
          <w:sz w:val="20"/>
          <w:szCs w:val="20"/>
        </w:rPr>
        <w:t xml:space="preserve"> ребалансом буџет општине Књажевац  је планиран у износу од </w:t>
      </w:r>
      <w:r>
        <w:rPr>
          <w:rFonts w:ascii="Tahoma" w:eastAsia="Times New Roman" w:hAnsi="Tahoma" w:cs="Tahoma"/>
          <w:bCs/>
          <w:color w:val="000000"/>
          <w:sz w:val="20"/>
          <w:szCs w:val="20"/>
        </w:rPr>
        <w:t>1.350.305.577</w:t>
      </w:r>
      <w:r w:rsidRPr="006E3044">
        <w:rPr>
          <w:rFonts w:ascii="Tahoma" w:eastAsia="Times New Roman" w:hAnsi="Tahoma" w:cs="Tahoma"/>
          <w:b/>
          <w:bCs/>
          <w:color w:val="000000"/>
          <w:sz w:val="20"/>
          <w:szCs w:val="20"/>
        </w:rPr>
        <w:t xml:space="preserve"> </w:t>
      </w:r>
      <w:r w:rsidRPr="006E3044">
        <w:rPr>
          <w:rFonts w:ascii="Tahoma" w:eastAsia="Times New Roman" w:hAnsi="Tahoma" w:cs="Tahoma"/>
          <w:bCs/>
          <w:color w:val="000000"/>
          <w:sz w:val="20"/>
          <w:szCs w:val="20"/>
        </w:rPr>
        <w:t>динара</w:t>
      </w:r>
      <w:r w:rsidRPr="006E3044">
        <w:rPr>
          <w:rFonts w:ascii="Tahoma" w:eastAsia="Times New Roman" w:hAnsi="Tahoma" w:cs="Tahoma"/>
          <w:b/>
          <w:bCs/>
          <w:color w:val="000000"/>
          <w:sz w:val="20"/>
          <w:szCs w:val="20"/>
        </w:rPr>
        <w:t xml:space="preserve">  </w:t>
      </w:r>
      <w:r w:rsidRPr="006E3044">
        <w:rPr>
          <w:rFonts w:ascii="Tahoma" w:eastAsia="Times New Roman" w:hAnsi="Tahoma" w:cs="Tahoma"/>
          <w:bCs/>
          <w:color w:val="000000"/>
          <w:sz w:val="20"/>
          <w:szCs w:val="20"/>
        </w:rPr>
        <w:t>и</w:t>
      </w:r>
      <w:r w:rsidRPr="006E3044">
        <w:rPr>
          <w:rFonts w:ascii="Tahoma" w:hAnsi="Tahoma" w:cs="Tahoma"/>
          <w:sz w:val="20"/>
          <w:szCs w:val="20"/>
        </w:rPr>
        <w:t xml:space="preserve">  у односу на </w:t>
      </w:r>
      <w:r>
        <w:rPr>
          <w:rFonts w:ascii="Tahoma" w:hAnsi="Tahoma" w:cs="Tahoma"/>
          <w:sz w:val="20"/>
          <w:szCs w:val="20"/>
        </w:rPr>
        <w:t xml:space="preserve">претходни ребаланс повећан је </w:t>
      </w:r>
      <w:r w:rsidRPr="006E3044">
        <w:rPr>
          <w:rFonts w:ascii="Tahoma" w:hAnsi="Tahoma" w:cs="Tahoma"/>
          <w:sz w:val="20"/>
          <w:szCs w:val="20"/>
        </w:rPr>
        <w:t xml:space="preserve"> за  </w:t>
      </w:r>
      <w:r>
        <w:rPr>
          <w:rFonts w:ascii="Tahoma" w:hAnsi="Tahoma" w:cs="Tahoma"/>
          <w:sz w:val="20"/>
          <w:szCs w:val="20"/>
        </w:rPr>
        <w:t>31.240.082 динара.</w:t>
      </w:r>
      <w:r w:rsidRPr="006E3044">
        <w:rPr>
          <w:rFonts w:ascii="Tahoma" w:hAnsi="Tahoma" w:cs="Tahoma"/>
          <w:sz w:val="20"/>
          <w:szCs w:val="20"/>
        </w:rPr>
        <w:t xml:space="preserve"> </w:t>
      </w:r>
      <w:r>
        <w:rPr>
          <w:rFonts w:ascii="Tahoma" w:hAnsi="Tahoma" w:cs="Tahoma"/>
          <w:sz w:val="20"/>
          <w:szCs w:val="20"/>
        </w:rPr>
        <w:t xml:space="preserve">Планирани приходи и примања и расходи и издаци из средстава буџета износе 1.334.282.177 динара, док </w:t>
      </w:r>
      <w:r>
        <w:rPr>
          <w:rFonts w:ascii="Tahoma" w:hAnsi="Tahoma" w:cs="Tahoma"/>
          <w:sz w:val="20"/>
          <w:szCs w:val="20"/>
          <w:lang w:val="sr-Latn-CS"/>
        </w:rPr>
        <w:t>средства буџетских корисника из осталих извора</w:t>
      </w:r>
      <w:r>
        <w:rPr>
          <w:rFonts w:ascii="Tahoma" w:hAnsi="Tahoma" w:cs="Tahoma"/>
          <w:sz w:val="20"/>
          <w:szCs w:val="20"/>
        </w:rPr>
        <w:t xml:space="preserve"> износе 16.023.400 динара.</w:t>
      </w:r>
    </w:p>
    <w:p w:rsidR="00CC6BF7" w:rsidRDefault="00CC6BF7" w:rsidP="00390F7E">
      <w:pPr>
        <w:ind w:firstLine="709"/>
        <w:rPr>
          <w:rFonts w:ascii="Tahoma" w:hAnsi="Tahoma" w:cs="Tahoma"/>
          <w:sz w:val="20"/>
          <w:szCs w:val="20"/>
        </w:rPr>
      </w:pPr>
      <w:r>
        <w:rPr>
          <w:rFonts w:ascii="Tahoma" w:hAnsi="Tahoma" w:cs="Tahoma"/>
          <w:sz w:val="20"/>
          <w:szCs w:val="20"/>
        </w:rPr>
        <w:t>Приходи које општина остварује од пореза, такси, накнада и од продаје добара и услуга нису мењани у односу на претходни ребаланс буџета, већ  је обим буџета повећан за укључивање средстава пројеката било да се финансирају из средства од другог нивоа власти (извор 07) или из донаторских средстава (извор 06).</w:t>
      </w:r>
    </w:p>
    <w:p w:rsidR="00E21F51" w:rsidRDefault="00E21F51" w:rsidP="00390F7E">
      <w:pPr>
        <w:ind w:firstLine="709"/>
        <w:rPr>
          <w:rFonts w:ascii="Tahoma" w:hAnsi="Tahoma" w:cs="Tahoma"/>
          <w:sz w:val="20"/>
          <w:szCs w:val="20"/>
        </w:rPr>
      </w:pPr>
    </w:p>
    <w:p w:rsidR="00CC6BF7" w:rsidRDefault="00CC6BF7" w:rsidP="00390F7E">
      <w:pPr>
        <w:ind w:firstLine="709"/>
        <w:rPr>
          <w:rFonts w:ascii="Tahoma" w:hAnsi="Tahoma" w:cs="Tahoma"/>
          <w:sz w:val="20"/>
          <w:szCs w:val="20"/>
        </w:rPr>
      </w:pPr>
      <w:r>
        <w:rPr>
          <w:rFonts w:ascii="Tahoma" w:hAnsi="Tahoma" w:cs="Tahoma"/>
          <w:sz w:val="20"/>
          <w:szCs w:val="20"/>
        </w:rPr>
        <w:t>Нови пројекти који су планирани овим ребалансом су:</w:t>
      </w:r>
    </w:p>
    <w:p w:rsidR="00CC6BF7" w:rsidRDefault="00CC6BF7" w:rsidP="00390F7E">
      <w:pPr>
        <w:ind w:firstLine="709"/>
        <w:rPr>
          <w:rFonts w:ascii="Tahoma" w:hAnsi="Tahoma" w:cs="Tahoma"/>
          <w:sz w:val="20"/>
          <w:szCs w:val="20"/>
        </w:rPr>
      </w:pPr>
    </w:p>
    <w:tbl>
      <w:tblPr>
        <w:tblStyle w:val="TableGrid"/>
        <w:tblW w:w="0" w:type="auto"/>
        <w:tblLook w:val="04A0"/>
      </w:tblPr>
      <w:tblGrid>
        <w:gridCol w:w="1998"/>
        <w:gridCol w:w="3690"/>
        <w:gridCol w:w="3888"/>
      </w:tblGrid>
      <w:tr w:rsidR="00CC6BF7" w:rsidTr="00CC6BF7">
        <w:tc>
          <w:tcPr>
            <w:tcW w:w="1998" w:type="dxa"/>
          </w:tcPr>
          <w:p w:rsidR="00CC6BF7" w:rsidRPr="00CC6BF7" w:rsidRDefault="00CC6BF7" w:rsidP="00CC6BF7">
            <w:pPr>
              <w:jc w:val="center"/>
              <w:rPr>
                <w:rFonts w:ascii="Tahoma" w:hAnsi="Tahoma" w:cs="Tahoma"/>
                <w:b/>
                <w:sz w:val="20"/>
                <w:szCs w:val="20"/>
              </w:rPr>
            </w:pPr>
            <w:r w:rsidRPr="00CC6BF7">
              <w:rPr>
                <w:rFonts w:ascii="Tahoma" w:hAnsi="Tahoma" w:cs="Tahoma"/>
                <w:b/>
                <w:sz w:val="20"/>
                <w:szCs w:val="20"/>
              </w:rPr>
              <w:t>Износ</w:t>
            </w:r>
          </w:p>
        </w:tc>
        <w:tc>
          <w:tcPr>
            <w:tcW w:w="3690" w:type="dxa"/>
          </w:tcPr>
          <w:p w:rsidR="00CC6BF7" w:rsidRPr="00CC6BF7" w:rsidRDefault="00CC6BF7" w:rsidP="00CC6BF7">
            <w:pPr>
              <w:jc w:val="center"/>
              <w:rPr>
                <w:rFonts w:ascii="Tahoma" w:hAnsi="Tahoma" w:cs="Tahoma"/>
                <w:b/>
                <w:sz w:val="20"/>
                <w:szCs w:val="20"/>
              </w:rPr>
            </w:pPr>
            <w:r w:rsidRPr="00CC6BF7">
              <w:rPr>
                <w:rFonts w:ascii="Tahoma" w:hAnsi="Tahoma" w:cs="Tahoma"/>
                <w:b/>
                <w:sz w:val="20"/>
                <w:szCs w:val="20"/>
              </w:rPr>
              <w:t>Назив пројекта</w:t>
            </w:r>
          </w:p>
        </w:tc>
        <w:tc>
          <w:tcPr>
            <w:tcW w:w="3888" w:type="dxa"/>
          </w:tcPr>
          <w:p w:rsidR="00CC6BF7" w:rsidRPr="00CC6BF7" w:rsidRDefault="00CC6BF7" w:rsidP="00CC6BF7">
            <w:pPr>
              <w:jc w:val="center"/>
              <w:rPr>
                <w:rFonts w:ascii="Tahoma" w:hAnsi="Tahoma" w:cs="Tahoma"/>
                <w:b/>
                <w:sz w:val="20"/>
                <w:szCs w:val="20"/>
              </w:rPr>
            </w:pPr>
            <w:r w:rsidRPr="00CC6BF7">
              <w:rPr>
                <w:rFonts w:ascii="Tahoma" w:hAnsi="Tahoma" w:cs="Tahoma"/>
                <w:b/>
                <w:sz w:val="20"/>
                <w:szCs w:val="20"/>
              </w:rPr>
              <w:t>Извор  средстава</w:t>
            </w:r>
          </w:p>
        </w:tc>
      </w:tr>
      <w:tr w:rsidR="00CC6BF7" w:rsidTr="00D272E4">
        <w:tc>
          <w:tcPr>
            <w:tcW w:w="1998" w:type="dxa"/>
            <w:vAlign w:val="center"/>
          </w:tcPr>
          <w:p w:rsidR="00CC6BF7" w:rsidRDefault="00D272E4" w:rsidP="00D272E4">
            <w:pPr>
              <w:jc w:val="center"/>
              <w:rPr>
                <w:rFonts w:ascii="Tahoma" w:hAnsi="Tahoma" w:cs="Tahoma"/>
                <w:sz w:val="20"/>
                <w:szCs w:val="20"/>
              </w:rPr>
            </w:pPr>
            <w:r>
              <w:rPr>
                <w:rFonts w:ascii="Tahoma" w:hAnsi="Tahoma" w:cs="Tahoma"/>
                <w:sz w:val="20"/>
                <w:szCs w:val="20"/>
              </w:rPr>
              <w:t>2.636.000</w:t>
            </w:r>
          </w:p>
        </w:tc>
        <w:tc>
          <w:tcPr>
            <w:tcW w:w="3690" w:type="dxa"/>
          </w:tcPr>
          <w:p w:rsidR="00CC6BF7" w:rsidRDefault="00324F43" w:rsidP="00390F7E">
            <w:pPr>
              <w:rPr>
                <w:rFonts w:ascii="Tahoma" w:hAnsi="Tahoma" w:cs="Tahoma"/>
                <w:sz w:val="20"/>
                <w:szCs w:val="20"/>
              </w:rPr>
            </w:pPr>
            <w:r w:rsidRPr="00324F43">
              <w:rPr>
                <w:rFonts w:ascii="Tahoma" w:hAnsi="Tahoma" w:cs="Tahoma"/>
                <w:sz w:val="20"/>
                <w:szCs w:val="20"/>
              </w:rPr>
              <w:t>Израда техничке документације потребне за изградњу система водоснадбевањаподпланинских села на Старој Планини</w:t>
            </w:r>
          </w:p>
        </w:tc>
        <w:tc>
          <w:tcPr>
            <w:tcW w:w="3888" w:type="dxa"/>
          </w:tcPr>
          <w:p w:rsidR="00CC6BF7" w:rsidRDefault="00000C8F" w:rsidP="00390F7E">
            <w:pPr>
              <w:rPr>
                <w:rFonts w:ascii="Tahoma" w:hAnsi="Tahoma" w:cs="Tahoma"/>
                <w:sz w:val="20"/>
                <w:szCs w:val="20"/>
              </w:rPr>
            </w:pPr>
            <w:r>
              <w:rPr>
                <w:rFonts w:ascii="Tahoma" w:hAnsi="Tahoma" w:cs="Tahoma"/>
                <w:sz w:val="20"/>
                <w:szCs w:val="20"/>
              </w:rPr>
              <w:t>Кабинет министра без портфеља задуженог за унапређење развоја недовољно развијених општина</w:t>
            </w:r>
          </w:p>
        </w:tc>
      </w:tr>
      <w:tr w:rsidR="00D272E4" w:rsidTr="00D272E4">
        <w:tc>
          <w:tcPr>
            <w:tcW w:w="1998" w:type="dxa"/>
            <w:vAlign w:val="center"/>
          </w:tcPr>
          <w:p w:rsidR="00D272E4" w:rsidRDefault="00D272E4" w:rsidP="00D272E4">
            <w:pPr>
              <w:jc w:val="center"/>
              <w:rPr>
                <w:rFonts w:ascii="Tahoma" w:hAnsi="Tahoma" w:cs="Tahoma"/>
                <w:sz w:val="20"/>
                <w:szCs w:val="20"/>
              </w:rPr>
            </w:pPr>
            <w:r>
              <w:rPr>
                <w:rFonts w:ascii="Tahoma" w:hAnsi="Tahoma" w:cs="Tahoma"/>
                <w:sz w:val="20"/>
                <w:szCs w:val="20"/>
              </w:rPr>
              <w:t>5.894.211</w:t>
            </w:r>
          </w:p>
        </w:tc>
        <w:tc>
          <w:tcPr>
            <w:tcW w:w="3690" w:type="dxa"/>
          </w:tcPr>
          <w:p w:rsidR="00D272E4" w:rsidRPr="00D272E4" w:rsidRDefault="00D272E4" w:rsidP="00D272E4">
            <w:pPr>
              <w:rPr>
                <w:rFonts w:ascii="Tahoma" w:hAnsi="Tahoma" w:cs="Tahoma"/>
                <w:bCs/>
                <w:color w:val="000000"/>
                <w:sz w:val="20"/>
                <w:szCs w:val="20"/>
              </w:rPr>
            </w:pPr>
            <w:r w:rsidRPr="00D272E4">
              <w:rPr>
                <w:rFonts w:ascii="Tahoma" w:hAnsi="Tahoma" w:cs="Tahoma"/>
                <w:bCs/>
                <w:color w:val="000000"/>
                <w:sz w:val="20"/>
                <w:szCs w:val="20"/>
              </w:rPr>
              <w:t>Изградња секундарне мреже фекалне канализације у ул. Боре Станковића, Трговишту и индустријској зони Дајчевица и изградња атмосферске канализације у ул. Добривоја Радосављевића Бобија</w:t>
            </w:r>
          </w:p>
          <w:p w:rsidR="00D272E4" w:rsidRDefault="00D272E4" w:rsidP="00390F7E">
            <w:pPr>
              <w:rPr>
                <w:rFonts w:ascii="Tahoma" w:hAnsi="Tahoma" w:cs="Tahoma"/>
                <w:sz w:val="20"/>
                <w:szCs w:val="20"/>
              </w:rPr>
            </w:pPr>
          </w:p>
        </w:tc>
        <w:tc>
          <w:tcPr>
            <w:tcW w:w="3888" w:type="dxa"/>
          </w:tcPr>
          <w:p w:rsidR="00000C8F" w:rsidRDefault="00000C8F" w:rsidP="00390F7E">
            <w:pPr>
              <w:rPr>
                <w:rFonts w:ascii="Tahoma" w:hAnsi="Tahoma" w:cs="Tahoma"/>
                <w:sz w:val="20"/>
                <w:szCs w:val="20"/>
              </w:rPr>
            </w:pPr>
          </w:p>
          <w:p w:rsidR="00D272E4" w:rsidRDefault="00000C8F" w:rsidP="00390F7E">
            <w:pPr>
              <w:rPr>
                <w:rFonts w:ascii="Tahoma" w:hAnsi="Tahoma" w:cs="Tahoma"/>
                <w:sz w:val="20"/>
                <w:szCs w:val="20"/>
              </w:rPr>
            </w:pPr>
            <w:r>
              <w:rPr>
                <w:rFonts w:ascii="Tahoma" w:hAnsi="Tahoma" w:cs="Tahoma"/>
                <w:sz w:val="20"/>
                <w:szCs w:val="20"/>
              </w:rPr>
              <w:t>Кабинет министра без портфеља задуженог за унапређење развоја недовољно развијених општина</w:t>
            </w:r>
          </w:p>
        </w:tc>
      </w:tr>
      <w:tr w:rsidR="00CC6BF7" w:rsidTr="00E21F51">
        <w:tc>
          <w:tcPr>
            <w:tcW w:w="1998" w:type="dxa"/>
            <w:vAlign w:val="center"/>
          </w:tcPr>
          <w:p w:rsidR="00CC6BF7" w:rsidRDefault="00E21F51" w:rsidP="00E21F51">
            <w:pPr>
              <w:jc w:val="center"/>
              <w:rPr>
                <w:rFonts w:ascii="Tahoma" w:hAnsi="Tahoma" w:cs="Tahoma"/>
                <w:sz w:val="20"/>
                <w:szCs w:val="20"/>
              </w:rPr>
            </w:pPr>
            <w:r>
              <w:rPr>
                <w:rFonts w:ascii="Tahoma" w:hAnsi="Tahoma" w:cs="Tahoma"/>
                <w:sz w:val="20"/>
                <w:szCs w:val="20"/>
              </w:rPr>
              <w:t>10.257.200</w:t>
            </w:r>
          </w:p>
        </w:tc>
        <w:tc>
          <w:tcPr>
            <w:tcW w:w="3690" w:type="dxa"/>
          </w:tcPr>
          <w:p w:rsidR="00CC6BF7" w:rsidRDefault="00324F43" w:rsidP="00390F7E">
            <w:pPr>
              <w:rPr>
                <w:rFonts w:ascii="Tahoma" w:hAnsi="Tahoma" w:cs="Tahoma"/>
                <w:sz w:val="20"/>
                <w:szCs w:val="20"/>
              </w:rPr>
            </w:pPr>
            <w:r>
              <w:rPr>
                <w:rFonts w:ascii="Tahoma" w:hAnsi="Tahoma" w:cs="Tahoma"/>
                <w:sz w:val="20"/>
                <w:szCs w:val="20"/>
              </w:rPr>
              <w:t>Подршка локалном развоју кроз нове услуге за незапослену омладину</w:t>
            </w:r>
          </w:p>
        </w:tc>
        <w:tc>
          <w:tcPr>
            <w:tcW w:w="3888" w:type="dxa"/>
          </w:tcPr>
          <w:p w:rsidR="00CC6BF7" w:rsidRDefault="00B8203A" w:rsidP="00390F7E">
            <w:pPr>
              <w:rPr>
                <w:rFonts w:ascii="Tahoma" w:hAnsi="Tahoma" w:cs="Tahoma"/>
                <w:sz w:val="20"/>
                <w:szCs w:val="20"/>
              </w:rPr>
            </w:pPr>
            <w:r>
              <w:rPr>
                <w:rFonts w:ascii="Tahoma" w:hAnsi="Tahoma" w:cs="Tahoma"/>
                <w:sz w:val="20"/>
                <w:szCs w:val="20"/>
              </w:rPr>
              <w:t xml:space="preserve"> Међународна </w:t>
            </w:r>
            <w:r w:rsidR="00000C8F">
              <w:rPr>
                <w:rFonts w:ascii="Tahoma" w:hAnsi="Tahoma" w:cs="Tahoma"/>
                <w:sz w:val="20"/>
                <w:szCs w:val="20"/>
              </w:rPr>
              <w:t xml:space="preserve"> организација за миграције</w:t>
            </w:r>
            <w:r>
              <w:rPr>
                <w:rFonts w:ascii="Tahoma" w:hAnsi="Tahoma" w:cs="Tahoma"/>
                <w:sz w:val="20"/>
                <w:szCs w:val="20"/>
              </w:rPr>
              <w:t xml:space="preserve">  (ИОМ)</w:t>
            </w:r>
          </w:p>
        </w:tc>
      </w:tr>
      <w:tr w:rsidR="00CC6BF7" w:rsidTr="00E21F51">
        <w:tc>
          <w:tcPr>
            <w:tcW w:w="1998" w:type="dxa"/>
            <w:vAlign w:val="center"/>
          </w:tcPr>
          <w:p w:rsidR="00CC6BF7" w:rsidRDefault="00E21F51" w:rsidP="00E21F51">
            <w:pPr>
              <w:jc w:val="center"/>
              <w:rPr>
                <w:rFonts w:ascii="Tahoma" w:hAnsi="Tahoma" w:cs="Tahoma"/>
                <w:sz w:val="20"/>
                <w:szCs w:val="20"/>
              </w:rPr>
            </w:pPr>
            <w:r>
              <w:rPr>
                <w:rFonts w:ascii="Tahoma" w:hAnsi="Tahoma" w:cs="Tahoma"/>
                <w:sz w:val="20"/>
                <w:szCs w:val="20"/>
              </w:rPr>
              <w:t>4.000.000</w:t>
            </w:r>
          </w:p>
        </w:tc>
        <w:tc>
          <w:tcPr>
            <w:tcW w:w="3690" w:type="dxa"/>
          </w:tcPr>
          <w:p w:rsidR="00CC6BF7" w:rsidRPr="00D272E4" w:rsidRDefault="00D272E4" w:rsidP="00390F7E">
            <w:pPr>
              <w:rPr>
                <w:rFonts w:ascii="Tahoma" w:hAnsi="Tahoma" w:cs="Tahoma"/>
                <w:sz w:val="20"/>
                <w:szCs w:val="20"/>
              </w:rPr>
            </w:pPr>
            <w:r>
              <w:rPr>
                <w:rFonts w:ascii="Tahoma" w:hAnsi="Tahoma" w:cs="Tahoma"/>
                <w:sz w:val="20"/>
                <w:szCs w:val="20"/>
                <w:lang w:val="sr-Latn-CS"/>
              </w:rPr>
              <w:t>Очување и заштита земљишта као природног ресурса</w:t>
            </w:r>
          </w:p>
        </w:tc>
        <w:tc>
          <w:tcPr>
            <w:tcW w:w="3888" w:type="dxa"/>
          </w:tcPr>
          <w:p w:rsidR="00CC6BF7" w:rsidRDefault="00000C8F" w:rsidP="00390F7E">
            <w:pPr>
              <w:rPr>
                <w:rFonts w:ascii="Tahoma" w:hAnsi="Tahoma" w:cs="Tahoma"/>
                <w:sz w:val="20"/>
                <w:szCs w:val="20"/>
              </w:rPr>
            </w:pPr>
            <w:r>
              <w:rPr>
                <w:rFonts w:ascii="Tahoma" w:hAnsi="Tahoma" w:cs="Tahoma"/>
                <w:sz w:val="20"/>
                <w:szCs w:val="20"/>
              </w:rPr>
              <w:t>Министарство заштите животне средине</w:t>
            </w:r>
          </w:p>
        </w:tc>
      </w:tr>
      <w:tr w:rsidR="00D272E4" w:rsidTr="00303313">
        <w:tc>
          <w:tcPr>
            <w:tcW w:w="1998" w:type="dxa"/>
            <w:vAlign w:val="center"/>
          </w:tcPr>
          <w:p w:rsidR="00D272E4" w:rsidRDefault="006D3B43" w:rsidP="00E21F51">
            <w:pPr>
              <w:jc w:val="center"/>
              <w:rPr>
                <w:rFonts w:ascii="Tahoma" w:hAnsi="Tahoma" w:cs="Tahoma"/>
                <w:sz w:val="20"/>
                <w:szCs w:val="20"/>
              </w:rPr>
            </w:pPr>
            <w:r>
              <w:rPr>
                <w:rFonts w:ascii="Tahoma" w:hAnsi="Tahoma" w:cs="Tahoma"/>
                <w:sz w:val="20"/>
                <w:szCs w:val="20"/>
              </w:rPr>
              <w:lastRenderedPageBreak/>
              <w:t>1.200.000</w:t>
            </w:r>
          </w:p>
        </w:tc>
        <w:tc>
          <w:tcPr>
            <w:tcW w:w="3690" w:type="dxa"/>
          </w:tcPr>
          <w:p w:rsidR="00D272E4" w:rsidRPr="00D272E4" w:rsidRDefault="00D272E4" w:rsidP="00390F7E">
            <w:pPr>
              <w:rPr>
                <w:rFonts w:ascii="Tahoma" w:hAnsi="Tahoma" w:cs="Tahoma"/>
                <w:sz w:val="20"/>
                <w:szCs w:val="20"/>
              </w:rPr>
            </w:pPr>
            <w:r>
              <w:rPr>
                <w:rFonts w:ascii="Tahoma" w:hAnsi="Tahoma" w:cs="Tahoma"/>
                <w:sz w:val="20"/>
                <w:szCs w:val="20"/>
              </w:rPr>
              <w:t>Пружање услуге социјалне заштите  “Помоћ у кући“</w:t>
            </w:r>
          </w:p>
        </w:tc>
        <w:tc>
          <w:tcPr>
            <w:tcW w:w="3888" w:type="dxa"/>
            <w:vAlign w:val="center"/>
          </w:tcPr>
          <w:p w:rsidR="00D272E4" w:rsidRPr="00303313" w:rsidRDefault="00303313" w:rsidP="00303313">
            <w:pPr>
              <w:jc w:val="center"/>
              <w:rPr>
                <w:rFonts w:ascii="Tahoma" w:hAnsi="Tahoma" w:cs="Tahoma"/>
                <w:sz w:val="20"/>
                <w:szCs w:val="20"/>
                <w:lang w:val="sr-Latn-CS"/>
              </w:rPr>
            </w:pPr>
            <w:r>
              <w:rPr>
                <w:rFonts w:ascii="Tahoma" w:hAnsi="Tahoma" w:cs="Tahoma"/>
                <w:sz w:val="20"/>
                <w:szCs w:val="20"/>
              </w:rPr>
              <w:t xml:space="preserve">Подршка владе Швајцарске </w:t>
            </w:r>
            <w:r>
              <w:rPr>
                <w:rFonts w:ascii="Tahoma" w:hAnsi="Tahoma" w:cs="Tahoma"/>
                <w:sz w:val="20"/>
                <w:szCs w:val="20"/>
                <w:lang w:val="sr-Latn-CS"/>
              </w:rPr>
              <w:t>Swiss PRO</w:t>
            </w:r>
          </w:p>
          <w:p w:rsidR="00D272E4" w:rsidRDefault="00D272E4" w:rsidP="00303313">
            <w:pPr>
              <w:jc w:val="center"/>
              <w:rPr>
                <w:rFonts w:ascii="Tahoma" w:hAnsi="Tahoma" w:cs="Tahoma"/>
                <w:sz w:val="20"/>
                <w:szCs w:val="20"/>
              </w:rPr>
            </w:pPr>
          </w:p>
        </w:tc>
      </w:tr>
      <w:tr w:rsidR="00D272E4" w:rsidTr="00E21F51">
        <w:tc>
          <w:tcPr>
            <w:tcW w:w="1998" w:type="dxa"/>
            <w:vAlign w:val="center"/>
          </w:tcPr>
          <w:p w:rsidR="00D272E4" w:rsidRDefault="00E21F51" w:rsidP="00E21F51">
            <w:pPr>
              <w:jc w:val="center"/>
              <w:rPr>
                <w:rFonts w:ascii="Tahoma" w:hAnsi="Tahoma" w:cs="Tahoma"/>
                <w:sz w:val="20"/>
                <w:szCs w:val="20"/>
              </w:rPr>
            </w:pPr>
            <w:r>
              <w:rPr>
                <w:rFonts w:ascii="Tahoma" w:hAnsi="Tahoma" w:cs="Tahoma"/>
                <w:sz w:val="20"/>
                <w:szCs w:val="20"/>
              </w:rPr>
              <w:t>479.360</w:t>
            </w:r>
          </w:p>
        </w:tc>
        <w:tc>
          <w:tcPr>
            <w:tcW w:w="3690" w:type="dxa"/>
          </w:tcPr>
          <w:p w:rsidR="00D272E4" w:rsidRDefault="00D272E4" w:rsidP="00390F7E">
            <w:pPr>
              <w:rPr>
                <w:rFonts w:ascii="Tahoma" w:hAnsi="Tahoma" w:cs="Tahoma"/>
                <w:sz w:val="20"/>
                <w:szCs w:val="20"/>
              </w:rPr>
            </w:pPr>
            <w:r>
              <w:rPr>
                <w:rFonts w:ascii="Tahoma" w:hAnsi="Tahoma" w:cs="Tahoma"/>
                <w:sz w:val="20"/>
                <w:szCs w:val="20"/>
              </w:rPr>
              <w:t>Дигитално партнерство – општина и млади</w:t>
            </w:r>
          </w:p>
        </w:tc>
        <w:tc>
          <w:tcPr>
            <w:tcW w:w="3888" w:type="dxa"/>
          </w:tcPr>
          <w:p w:rsidR="00D272E4" w:rsidRDefault="00000C8F" w:rsidP="00390F7E">
            <w:pPr>
              <w:rPr>
                <w:rFonts w:ascii="Tahoma" w:hAnsi="Tahoma" w:cs="Tahoma"/>
                <w:sz w:val="20"/>
                <w:szCs w:val="20"/>
              </w:rPr>
            </w:pPr>
            <w:r>
              <w:rPr>
                <w:rFonts w:ascii="Tahoma" w:hAnsi="Tahoma" w:cs="Tahoma"/>
                <w:sz w:val="20"/>
                <w:szCs w:val="20"/>
              </w:rPr>
              <w:t>Министрство омладине и спорта</w:t>
            </w:r>
          </w:p>
        </w:tc>
      </w:tr>
      <w:tr w:rsidR="00D272E4" w:rsidTr="001C6E76">
        <w:tc>
          <w:tcPr>
            <w:tcW w:w="1998" w:type="dxa"/>
            <w:vAlign w:val="center"/>
          </w:tcPr>
          <w:p w:rsidR="00D272E4" w:rsidRDefault="00D272E4" w:rsidP="00E21F51">
            <w:pPr>
              <w:jc w:val="center"/>
              <w:rPr>
                <w:rFonts w:ascii="Tahoma" w:hAnsi="Tahoma" w:cs="Tahoma"/>
                <w:sz w:val="20"/>
                <w:szCs w:val="20"/>
              </w:rPr>
            </w:pPr>
            <w:r>
              <w:rPr>
                <w:rFonts w:ascii="Tahoma" w:hAnsi="Tahoma" w:cs="Tahoma"/>
                <w:sz w:val="20"/>
                <w:szCs w:val="20"/>
              </w:rPr>
              <w:t>3.045.000</w:t>
            </w:r>
          </w:p>
        </w:tc>
        <w:tc>
          <w:tcPr>
            <w:tcW w:w="3690" w:type="dxa"/>
          </w:tcPr>
          <w:p w:rsidR="00D272E4" w:rsidRDefault="00D272E4" w:rsidP="00390F7E">
            <w:pPr>
              <w:rPr>
                <w:rFonts w:ascii="Tahoma" w:hAnsi="Tahoma" w:cs="Tahoma"/>
                <w:sz w:val="20"/>
                <w:szCs w:val="20"/>
              </w:rPr>
            </w:pPr>
            <w:r>
              <w:rPr>
                <w:rFonts w:ascii="Tahoma" w:hAnsi="Tahoma" w:cs="Tahoma"/>
                <w:sz w:val="20"/>
                <w:szCs w:val="20"/>
              </w:rPr>
              <w:t>Пројекти Завичајног музеја финансирани од стране Министарств за културу</w:t>
            </w:r>
          </w:p>
        </w:tc>
        <w:tc>
          <w:tcPr>
            <w:tcW w:w="3888" w:type="dxa"/>
            <w:vAlign w:val="center"/>
          </w:tcPr>
          <w:p w:rsidR="00D272E4" w:rsidRDefault="00000C8F" w:rsidP="00303313">
            <w:pPr>
              <w:rPr>
                <w:rFonts w:ascii="Tahoma" w:hAnsi="Tahoma" w:cs="Tahoma"/>
                <w:sz w:val="20"/>
                <w:szCs w:val="20"/>
              </w:rPr>
            </w:pPr>
            <w:r>
              <w:rPr>
                <w:rFonts w:ascii="Tahoma" w:hAnsi="Tahoma" w:cs="Tahoma"/>
                <w:sz w:val="20"/>
                <w:szCs w:val="20"/>
              </w:rPr>
              <w:t>Министарство културе</w:t>
            </w:r>
          </w:p>
        </w:tc>
      </w:tr>
      <w:tr w:rsidR="00D272E4" w:rsidTr="00E21F51">
        <w:tc>
          <w:tcPr>
            <w:tcW w:w="1998" w:type="dxa"/>
            <w:vAlign w:val="center"/>
          </w:tcPr>
          <w:p w:rsidR="00D272E4" w:rsidRDefault="00D272E4" w:rsidP="00E21F51">
            <w:pPr>
              <w:jc w:val="center"/>
              <w:rPr>
                <w:rFonts w:ascii="Tahoma" w:hAnsi="Tahoma" w:cs="Tahoma"/>
                <w:sz w:val="20"/>
                <w:szCs w:val="20"/>
              </w:rPr>
            </w:pPr>
            <w:r>
              <w:rPr>
                <w:rFonts w:ascii="Tahoma" w:hAnsi="Tahoma" w:cs="Tahoma"/>
                <w:sz w:val="20"/>
                <w:szCs w:val="20"/>
              </w:rPr>
              <w:t>500.000</w:t>
            </w:r>
          </w:p>
        </w:tc>
        <w:tc>
          <w:tcPr>
            <w:tcW w:w="3690" w:type="dxa"/>
          </w:tcPr>
          <w:p w:rsidR="00D272E4" w:rsidRPr="00D272E4" w:rsidRDefault="00D272E4" w:rsidP="00390F7E">
            <w:pPr>
              <w:rPr>
                <w:rFonts w:ascii="Tahoma" w:hAnsi="Tahoma" w:cs="Tahoma"/>
                <w:sz w:val="20"/>
                <w:szCs w:val="20"/>
              </w:rPr>
            </w:pPr>
            <w:r>
              <w:rPr>
                <w:rFonts w:ascii="Tahoma" w:hAnsi="Tahoma" w:cs="Tahoma"/>
                <w:sz w:val="20"/>
                <w:szCs w:val="20"/>
                <w:lang w:val="sr-Latn-CS"/>
              </w:rPr>
              <w:t xml:space="preserve">Moon fest 2021 – Стара </w:t>
            </w:r>
            <w:r>
              <w:rPr>
                <w:rFonts w:ascii="Tahoma" w:hAnsi="Tahoma" w:cs="Tahoma"/>
                <w:sz w:val="20"/>
                <w:szCs w:val="20"/>
              </w:rPr>
              <w:t>планина</w:t>
            </w:r>
          </w:p>
        </w:tc>
        <w:tc>
          <w:tcPr>
            <w:tcW w:w="3888" w:type="dxa"/>
          </w:tcPr>
          <w:p w:rsidR="00D272E4" w:rsidRDefault="00000C8F" w:rsidP="00390F7E">
            <w:pPr>
              <w:rPr>
                <w:rFonts w:ascii="Tahoma" w:hAnsi="Tahoma" w:cs="Tahoma"/>
                <w:sz w:val="20"/>
                <w:szCs w:val="20"/>
              </w:rPr>
            </w:pPr>
            <w:r>
              <w:rPr>
                <w:rFonts w:ascii="Tahoma" w:hAnsi="Tahoma" w:cs="Tahoma"/>
                <w:sz w:val="20"/>
                <w:szCs w:val="20"/>
              </w:rPr>
              <w:t>Министарство туризма и трговине</w:t>
            </w:r>
          </w:p>
        </w:tc>
      </w:tr>
      <w:tr w:rsidR="006D3B43" w:rsidTr="00E21F51">
        <w:tc>
          <w:tcPr>
            <w:tcW w:w="1998" w:type="dxa"/>
            <w:vAlign w:val="center"/>
          </w:tcPr>
          <w:p w:rsidR="006D3B43" w:rsidRDefault="00000C8F" w:rsidP="00E21F51">
            <w:pPr>
              <w:jc w:val="center"/>
              <w:rPr>
                <w:rFonts w:ascii="Tahoma" w:hAnsi="Tahoma" w:cs="Tahoma"/>
                <w:sz w:val="20"/>
                <w:szCs w:val="20"/>
              </w:rPr>
            </w:pPr>
            <w:r>
              <w:rPr>
                <w:rFonts w:ascii="Tahoma" w:hAnsi="Tahoma" w:cs="Tahoma"/>
                <w:sz w:val="20"/>
                <w:szCs w:val="20"/>
              </w:rPr>
              <w:t>3.088.390</w:t>
            </w:r>
          </w:p>
        </w:tc>
        <w:tc>
          <w:tcPr>
            <w:tcW w:w="3690" w:type="dxa"/>
          </w:tcPr>
          <w:p w:rsidR="006D3B43" w:rsidRPr="00000C8F" w:rsidRDefault="00000C8F" w:rsidP="00390F7E">
            <w:pPr>
              <w:rPr>
                <w:rFonts w:ascii="Tahoma" w:hAnsi="Tahoma" w:cs="Tahoma"/>
                <w:sz w:val="20"/>
                <w:szCs w:val="20"/>
                <w:lang w:val="sr-Latn-CS"/>
              </w:rPr>
            </w:pPr>
            <w:r>
              <w:rPr>
                <w:rFonts w:ascii="Tahoma" w:hAnsi="Tahoma" w:cs="Tahoma"/>
                <w:sz w:val="20"/>
                <w:szCs w:val="20"/>
              </w:rPr>
              <w:t>Youth art netvork</w:t>
            </w:r>
          </w:p>
        </w:tc>
        <w:tc>
          <w:tcPr>
            <w:tcW w:w="3888" w:type="dxa"/>
          </w:tcPr>
          <w:p w:rsidR="006D3B43" w:rsidRPr="00000C8F" w:rsidRDefault="00000C8F" w:rsidP="00390F7E">
            <w:pPr>
              <w:rPr>
                <w:rFonts w:ascii="Tahoma" w:hAnsi="Tahoma" w:cs="Tahoma"/>
                <w:sz w:val="20"/>
                <w:szCs w:val="20"/>
              </w:rPr>
            </w:pPr>
            <w:r>
              <w:rPr>
                <w:rFonts w:ascii="Tahoma" w:hAnsi="Tahoma" w:cs="Tahoma"/>
                <w:sz w:val="20"/>
                <w:szCs w:val="20"/>
                <w:lang w:val="sr-Latn-CS"/>
              </w:rPr>
              <w:t xml:space="preserve"> </w:t>
            </w:r>
            <w:r>
              <w:rPr>
                <w:rFonts w:ascii="Tahoma" w:hAnsi="Tahoma" w:cs="Tahoma"/>
                <w:sz w:val="20"/>
                <w:szCs w:val="20"/>
              </w:rPr>
              <w:t>Прекогранични пројекат</w:t>
            </w:r>
            <w:r w:rsidR="00B8203A">
              <w:rPr>
                <w:rFonts w:ascii="Tahoma" w:hAnsi="Tahoma" w:cs="Tahoma"/>
                <w:sz w:val="20"/>
                <w:szCs w:val="20"/>
              </w:rPr>
              <w:t xml:space="preserve"> (ИПА пројекат)</w:t>
            </w:r>
            <w:r w:rsidR="001C6E76">
              <w:rPr>
                <w:rFonts w:ascii="Tahoma" w:hAnsi="Tahoma" w:cs="Tahoma"/>
                <w:sz w:val="20"/>
                <w:szCs w:val="20"/>
              </w:rPr>
              <w:t xml:space="preserve"> </w:t>
            </w:r>
          </w:p>
        </w:tc>
      </w:tr>
    </w:tbl>
    <w:p w:rsidR="00CC6BF7" w:rsidRDefault="00CC6BF7" w:rsidP="00390F7E">
      <w:pPr>
        <w:ind w:firstLine="709"/>
        <w:rPr>
          <w:rFonts w:ascii="Tahoma" w:hAnsi="Tahoma" w:cs="Tahoma"/>
          <w:sz w:val="20"/>
          <w:szCs w:val="20"/>
        </w:rPr>
      </w:pPr>
    </w:p>
    <w:p w:rsidR="00CC6BF7" w:rsidRPr="00CC6BF7" w:rsidRDefault="00CC6BF7" w:rsidP="00390F7E">
      <w:pPr>
        <w:ind w:firstLine="709"/>
        <w:rPr>
          <w:rFonts w:ascii="Tahoma" w:hAnsi="Tahoma" w:cs="Tahoma"/>
          <w:sz w:val="20"/>
          <w:szCs w:val="20"/>
        </w:rPr>
      </w:pPr>
    </w:p>
    <w:p w:rsidR="00EB5A48" w:rsidRDefault="00DD1425" w:rsidP="00D25EA9">
      <w:pPr>
        <w:ind w:firstLine="709"/>
        <w:rPr>
          <w:rFonts w:ascii="Tahoma" w:hAnsi="Tahoma" w:cs="Tahoma"/>
          <w:sz w:val="20"/>
          <w:szCs w:val="20"/>
        </w:rPr>
      </w:pPr>
      <w:r>
        <w:rPr>
          <w:rFonts w:ascii="Tahoma" w:hAnsi="Tahoma" w:cs="Tahoma"/>
          <w:sz w:val="20"/>
          <w:szCs w:val="20"/>
        </w:rPr>
        <w:t>Овим ребалансом буџета извршена је измена код планирања апропријација за установе културе, а све у складу са чланом 2. тачка 31) Закона о буџетском систему којим је дефинисано да се апропријације за индиректне кориснике буџетских средстава исказују збирно по врстама индиректних корисника и наменама у оквиру раздела директног корисника који је, у буџетском смислу, одговоран за те индиректне кориснике буџетских средстава</w:t>
      </w:r>
      <w:r w:rsidR="0084381C">
        <w:rPr>
          <w:rFonts w:ascii="Tahoma" w:hAnsi="Tahoma" w:cs="Tahoma"/>
          <w:sz w:val="20"/>
          <w:szCs w:val="20"/>
        </w:rPr>
        <w:t>.</w:t>
      </w:r>
    </w:p>
    <w:p w:rsidR="0084381C" w:rsidRDefault="0084381C" w:rsidP="00E44CC4">
      <w:pPr>
        <w:pStyle w:val="Heading1"/>
        <w:tabs>
          <w:tab w:val="left" w:pos="0"/>
        </w:tabs>
        <w:rPr>
          <w:rFonts w:cs="Tahoma"/>
          <w:sz w:val="20"/>
          <w:szCs w:val="20"/>
        </w:rPr>
      </w:pPr>
      <w:r>
        <w:rPr>
          <w:rFonts w:cs="Tahoma"/>
          <w:sz w:val="20"/>
          <w:szCs w:val="20"/>
        </w:rPr>
        <w:tab/>
        <w:t xml:space="preserve">Међутим, </w:t>
      </w:r>
      <w:r w:rsidR="00D36837">
        <w:rPr>
          <w:rFonts w:cs="Tahoma"/>
          <w:sz w:val="20"/>
          <w:szCs w:val="20"/>
        </w:rPr>
        <w:t xml:space="preserve"> индиректним корисницима је  важно да </w:t>
      </w:r>
      <w:r w:rsidR="00E44CC4">
        <w:rPr>
          <w:rFonts w:cs="Tahoma"/>
          <w:sz w:val="20"/>
          <w:szCs w:val="20"/>
        </w:rPr>
        <w:t xml:space="preserve">имају информацију о планираним апропријацијама како би </w:t>
      </w:r>
      <w:r w:rsidR="00D36837">
        <w:rPr>
          <w:rFonts w:cs="Tahoma"/>
          <w:sz w:val="20"/>
          <w:szCs w:val="20"/>
        </w:rPr>
        <w:t xml:space="preserve"> </w:t>
      </w:r>
      <w:r w:rsidR="00E44CC4">
        <w:rPr>
          <w:rFonts w:cs="Tahoma"/>
          <w:sz w:val="20"/>
          <w:szCs w:val="20"/>
        </w:rPr>
        <w:t>могли да реализују своје финансијске планове у складу са одобреним средствима одлуком о буџету, па се из тог разлога у наставку даје преглед планираних апропријација по програмским активностима и пројектима за сваку установу културе појединачно :</w:t>
      </w:r>
    </w:p>
    <w:p w:rsidR="00246700" w:rsidRDefault="00246700" w:rsidP="00246700">
      <w:pPr>
        <w:widowControl/>
        <w:suppressAutoHyphens w:val="0"/>
        <w:spacing w:after="200" w:line="276" w:lineRule="auto"/>
        <w:sectPr w:rsidR="00246700" w:rsidSect="00246700">
          <w:footerReference w:type="default" r:id="rId8"/>
          <w:pgSz w:w="12240" w:h="15840"/>
          <w:pgMar w:top="720" w:right="1440" w:bottom="432" w:left="1440" w:header="720" w:footer="720" w:gutter="0"/>
          <w:cols w:space="720"/>
          <w:docGrid w:linePitch="360"/>
        </w:sectPr>
      </w:pPr>
    </w:p>
    <w:tbl>
      <w:tblPr>
        <w:tblW w:w="13771" w:type="dxa"/>
        <w:tblInd w:w="1278" w:type="dxa"/>
        <w:tblLook w:val="04A0"/>
      </w:tblPr>
      <w:tblGrid>
        <w:gridCol w:w="720"/>
        <w:gridCol w:w="810"/>
        <w:gridCol w:w="1289"/>
        <w:gridCol w:w="659"/>
        <w:gridCol w:w="540"/>
        <w:gridCol w:w="810"/>
        <w:gridCol w:w="5162"/>
        <w:gridCol w:w="1420"/>
        <w:gridCol w:w="1141"/>
        <w:gridCol w:w="1220"/>
      </w:tblGrid>
      <w:tr w:rsidR="00E44CC4" w:rsidRPr="00E44CC4" w:rsidTr="00423FD2">
        <w:trPr>
          <w:trHeight w:val="1605"/>
        </w:trPr>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lastRenderedPageBreak/>
              <w:t>Раздео</w:t>
            </w:r>
            <w:proofErr w:type="spellEnd"/>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Глава</w:t>
            </w:r>
            <w:proofErr w:type="spellEnd"/>
          </w:p>
        </w:tc>
        <w:tc>
          <w:tcPr>
            <w:tcW w:w="1289"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Програм-ска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Класиф</w:t>
            </w:r>
            <w:proofErr w:type="spellEnd"/>
            <w:r w:rsidRPr="00E44CC4">
              <w:rPr>
                <w:rFonts w:eastAsia="Times New Roman"/>
                <w:b/>
                <w:bCs/>
                <w:sz w:val="22"/>
                <w:szCs w:val="22"/>
                <w:lang w:val="en-US"/>
              </w:rPr>
              <w:t>.</w:t>
            </w:r>
          </w:p>
        </w:tc>
        <w:tc>
          <w:tcPr>
            <w:tcW w:w="659" w:type="dxa"/>
            <w:tcBorders>
              <w:top w:val="single" w:sz="4" w:space="0" w:color="auto"/>
              <w:left w:val="nil"/>
              <w:bottom w:val="single" w:sz="4" w:space="0" w:color="auto"/>
              <w:right w:val="single" w:sz="4" w:space="0" w:color="auto"/>
            </w:tcBorders>
            <w:shd w:val="clear" w:color="auto" w:fill="auto"/>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Функција</w:t>
            </w:r>
            <w:proofErr w:type="spellEnd"/>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Позиција</w:t>
            </w:r>
            <w:proofErr w:type="spellEnd"/>
          </w:p>
        </w:tc>
        <w:tc>
          <w:tcPr>
            <w:tcW w:w="810" w:type="dxa"/>
            <w:tcBorders>
              <w:top w:val="single" w:sz="4" w:space="0" w:color="auto"/>
              <w:left w:val="nil"/>
              <w:bottom w:val="single" w:sz="4" w:space="0" w:color="auto"/>
              <w:right w:val="single" w:sz="4" w:space="0" w:color="auto"/>
            </w:tcBorders>
            <w:shd w:val="clear" w:color="auto" w:fill="auto"/>
            <w:textDirection w:val="btLr"/>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Економ</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Класиф</w:t>
            </w:r>
            <w:proofErr w:type="spellEnd"/>
            <w:r w:rsidRPr="00E44CC4">
              <w:rPr>
                <w:rFonts w:eastAsia="Times New Roman"/>
                <w:b/>
                <w:bCs/>
                <w:sz w:val="22"/>
                <w:szCs w:val="22"/>
                <w:lang w:val="en-US"/>
              </w:rPr>
              <w:t>.</w:t>
            </w:r>
          </w:p>
        </w:tc>
        <w:tc>
          <w:tcPr>
            <w:tcW w:w="5162" w:type="dxa"/>
            <w:tcBorders>
              <w:top w:val="single" w:sz="4" w:space="0" w:color="auto"/>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Опис</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xml:space="preserve"> </w:t>
            </w:r>
            <w:proofErr w:type="spellStart"/>
            <w:r w:rsidRPr="00E44CC4">
              <w:rPr>
                <w:rFonts w:eastAsia="Times New Roman"/>
                <w:b/>
                <w:bCs/>
                <w:sz w:val="22"/>
                <w:szCs w:val="22"/>
                <w:lang w:val="en-US"/>
              </w:rPr>
              <w:t>Средства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из</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буџета</w:t>
            </w:r>
            <w:proofErr w:type="spellEnd"/>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xml:space="preserve"> </w:t>
            </w:r>
            <w:proofErr w:type="spellStart"/>
            <w:r w:rsidRPr="00E44CC4">
              <w:rPr>
                <w:rFonts w:eastAsia="Times New Roman"/>
                <w:b/>
                <w:bCs/>
                <w:sz w:val="22"/>
                <w:szCs w:val="22"/>
                <w:lang w:val="en-US"/>
              </w:rPr>
              <w:t>Средства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из</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осталих</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извора</w:t>
            </w:r>
            <w:proofErr w:type="spellEnd"/>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xml:space="preserve"> </w:t>
            </w:r>
            <w:proofErr w:type="spellStart"/>
            <w:r w:rsidRPr="00E44CC4">
              <w:rPr>
                <w:rFonts w:eastAsia="Times New Roman"/>
                <w:b/>
                <w:bCs/>
                <w:sz w:val="22"/>
                <w:szCs w:val="22"/>
                <w:lang w:val="en-US"/>
              </w:rPr>
              <w:t>Укупна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јавна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средства</w:t>
            </w:r>
            <w:proofErr w:type="spellEnd"/>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1</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2</w:t>
            </w:r>
          </w:p>
        </w:tc>
        <w:tc>
          <w:tcPr>
            <w:tcW w:w="1289" w:type="dxa"/>
            <w:tcBorders>
              <w:top w:val="nil"/>
              <w:left w:val="nil"/>
              <w:bottom w:val="single" w:sz="4" w:space="0" w:color="auto"/>
              <w:right w:val="single" w:sz="4" w:space="0" w:color="auto"/>
            </w:tcBorders>
            <w:shd w:val="clear" w:color="000000" w:fill="FFFFFF"/>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3</w:t>
            </w:r>
          </w:p>
        </w:tc>
        <w:tc>
          <w:tcPr>
            <w:tcW w:w="659"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5</w:t>
            </w:r>
          </w:p>
        </w:tc>
        <w:tc>
          <w:tcPr>
            <w:tcW w:w="810"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6</w:t>
            </w:r>
          </w:p>
        </w:tc>
        <w:tc>
          <w:tcPr>
            <w:tcW w:w="5162"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7</w:t>
            </w:r>
          </w:p>
        </w:tc>
        <w:tc>
          <w:tcPr>
            <w:tcW w:w="1420"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8</w:t>
            </w:r>
          </w:p>
        </w:tc>
        <w:tc>
          <w:tcPr>
            <w:tcW w:w="1141" w:type="dxa"/>
            <w:tcBorders>
              <w:top w:val="nil"/>
              <w:left w:val="nil"/>
              <w:bottom w:val="single" w:sz="4" w:space="0" w:color="auto"/>
              <w:right w:val="single" w:sz="4" w:space="0" w:color="auto"/>
            </w:tcBorders>
            <w:shd w:val="clear" w:color="auto" w:fill="auto"/>
            <w:vAlign w:val="center"/>
            <w:hideMark/>
          </w:tcPr>
          <w:p w:rsidR="00E44CC4" w:rsidRPr="001C6E76" w:rsidRDefault="001C6E76" w:rsidP="00E44CC4">
            <w:pPr>
              <w:widowControl/>
              <w:suppressAutoHyphens w:val="0"/>
              <w:jc w:val="center"/>
              <w:rPr>
                <w:rFonts w:eastAsia="Times New Roman"/>
                <w:b/>
                <w:bCs/>
              </w:rPr>
            </w:pPr>
            <w:r>
              <w:rPr>
                <w:rFonts w:eastAsia="Times New Roman"/>
                <w:b/>
                <w:bCs/>
                <w:sz w:val="22"/>
                <w:szCs w:val="22"/>
              </w:rPr>
              <w:t>9</w:t>
            </w:r>
          </w:p>
        </w:tc>
        <w:tc>
          <w:tcPr>
            <w:tcW w:w="1220" w:type="dxa"/>
            <w:tcBorders>
              <w:top w:val="nil"/>
              <w:left w:val="nil"/>
              <w:bottom w:val="single" w:sz="4" w:space="0" w:color="auto"/>
              <w:right w:val="single" w:sz="4" w:space="0" w:color="auto"/>
            </w:tcBorders>
            <w:shd w:val="clear" w:color="auto" w:fill="auto"/>
            <w:vAlign w:val="center"/>
            <w:hideMark/>
          </w:tcPr>
          <w:p w:rsidR="00E44CC4" w:rsidRPr="001C6E76" w:rsidRDefault="00E44CC4" w:rsidP="001C6E76">
            <w:pPr>
              <w:widowControl/>
              <w:suppressAutoHyphens w:val="0"/>
              <w:jc w:val="center"/>
              <w:rPr>
                <w:rFonts w:eastAsia="Times New Roman"/>
                <w:b/>
                <w:bCs/>
              </w:rPr>
            </w:pPr>
            <w:r w:rsidRPr="00E44CC4">
              <w:rPr>
                <w:rFonts w:eastAsia="Times New Roman"/>
                <w:b/>
                <w:bCs/>
                <w:sz w:val="22"/>
                <w:szCs w:val="22"/>
                <w:lang w:val="en-US"/>
              </w:rPr>
              <w:t>1</w:t>
            </w:r>
            <w:r w:rsidR="001C6E76">
              <w:rPr>
                <w:rFonts w:eastAsia="Times New Roman"/>
                <w:b/>
                <w:bCs/>
                <w:sz w:val="22"/>
                <w:szCs w:val="22"/>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5</w:t>
            </w:r>
          </w:p>
        </w:tc>
        <w:tc>
          <w:tcPr>
            <w:tcW w:w="81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5.04</w:t>
            </w:r>
          </w:p>
        </w:tc>
        <w:tc>
          <w:tcPr>
            <w:tcW w:w="1289"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659"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54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81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5162"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НАРОДНА БИБЛИОТЕКА</w:t>
            </w:r>
          </w:p>
        </w:tc>
        <w:tc>
          <w:tcPr>
            <w:tcW w:w="142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141"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r w:rsidRPr="00E44CC4">
              <w:rPr>
                <w:rFonts w:eastAsia="Times New Roman"/>
                <w:b/>
                <w:bCs/>
                <w:sz w:val="22"/>
                <w:szCs w:val="22"/>
                <w:lang w:val="en-US"/>
              </w:rPr>
              <w:t>ПРОГРАМ 13 - РАЗВОЈ КУЛТУРЕ И ИНФОРМИСАЊА</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1201-0001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Функционисање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локалних</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установа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Плате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додаци</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запослених</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зараде</w:t>
            </w:r>
            <w:proofErr w:type="spellEnd"/>
            <w:r w:rsidRPr="00E44CC4">
              <w:rPr>
                <w:rFonts w:eastAsia="Times New Roman"/>
                <w:color w:val="000000"/>
                <w:sz w:val="22"/>
                <w:szCs w:val="22"/>
                <w:lang w:val="en-US"/>
              </w:rPr>
              <w:t>)</w:t>
            </w:r>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7,263,890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7,263,890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Социјални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доприноси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терет</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послодавца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1,209,440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1,209,440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у </w:t>
            </w:r>
            <w:proofErr w:type="spellStart"/>
            <w:r w:rsidRPr="00E44CC4">
              <w:rPr>
                <w:rFonts w:eastAsia="Times New Roman"/>
                <w:color w:val="000000"/>
                <w:sz w:val="22"/>
                <w:szCs w:val="22"/>
                <w:lang w:val="en-US"/>
              </w:rPr>
              <w:t>натури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Социјална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давања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трошкова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Награде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запосленима</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остали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посебни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расходи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Стални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трошкови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92,000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642,000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320,000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17,000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337,000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Специјализоване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услуге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85,000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115,000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Текуће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поправке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одржавање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380,000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390,000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Материјал</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870,000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901,000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482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Порези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обавезне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таксе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казне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пенали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Машине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опрема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510,000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Нематеријална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имовина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12,693,330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12,693,330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180,000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180,000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12,693,330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180,000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12,873,330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lastRenderedPageBreak/>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програмску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активност</w:t>
            </w:r>
            <w:proofErr w:type="spellEnd"/>
            <w:r w:rsidRPr="00E44CC4">
              <w:rPr>
                <w:rFonts w:eastAsia="Times New Roman"/>
                <w:b/>
                <w:bCs/>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12,693,330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12,693,330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180,000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180,000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програмску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активност</w:t>
            </w:r>
            <w:proofErr w:type="spellEnd"/>
            <w:r w:rsidRPr="00E44CC4">
              <w:rPr>
                <w:rFonts w:eastAsia="Times New Roman"/>
                <w:b/>
                <w:bCs/>
                <w:color w:val="000000"/>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12,693,330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180,000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12,873,330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1201-0002</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Јачање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културне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продукције</w:t>
            </w:r>
            <w:proofErr w:type="spellEnd"/>
            <w:r w:rsidRPr="00E44CC4">
              <w:rPr>
                <w:rFonts w:eastAsia="Times New Roman"/>
                <w:b/>
                <w:bCs/>
                <w:sz w:val="22"/>
                <w:szCs w:val="22"/>
                <w:lang w:val="en-US"/>
              </w:rPr>
              <w:t xml:space="preserve"> и </w:t>
            </w:r>
            <w:proofErr w:type="spellStart"/>
            <w:r w:rsidRPr="00E44CC4">
              <w:rPr>
                <w:rFonts w:eastAsia="Times New Roman"/>
                <w:b/>
                <w:bCs/>
                <w:sz w:val="22"/>
                <w:szCs w:val="22"/>
                <w:lang w:val="en-US"/>
              </w:rPr>
              <w:t>уметничког</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стваралаштва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160,000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980,000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Специјализоване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услуге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800,000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800,000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1,940,000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1,940,000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1,990,000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програмску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активност</w:t>
            </w:r>
            <w:proofErr w:type="spellEnd"/>
            <w:r w:rsidRPr="00E44CC4">
              <w:rPr>
                <w:rFonts w:eastAsia="Times New Roman"/>
                <w:b/>
                <w:bCs/>
                <w:sz w:val="22"/>
                <w:szCs w:val="22"/>
                <w:lang w:val="en-US"/>
              </w:rPr>
              <w:t xml:space="preserve"> 1201-0002:</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1,940,000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програмску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активност</w:t>
            </w:r>
            <w:proofErr w:type="spellEnd"/>
            <w:r w:rsidRPr="00E44CC4">
              <w:rPr>
                <w:rFonts w:eastAsia="Times New Roman"/>
                <w:b/>
                <w:bCs/>
                <w:color w:val="000000"/>
                <w:sz w:val="22"/>
                <w:szCs w:val="22"/>
                <w:lang w:val="en-US"/>
              </w:rPr>
              <w:t xml:space="preserve"> 1201-0002:</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1,940,000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1,990,000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Народну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библиотеку</w:t>
            </w:r>
            <w:proofErr w:type="spellEnd"/>
            <w:r w:rsidRPr="00E44CC4">
              <w:rPr>
                <w:rFonts w:eastAsia="Times New Roman"/>
                <w:b/>
                <w:bCs/>
                <w:sz w:val="22"/>
                <w:szCs w:val="22"/>
                <w:lang w:val="en-US"/>
              </w:rPr>
              <w:t>:</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14,633,330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14,633,330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000000" w:fill="FAC090"/>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Народну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библиотеку</w:t>
            </w:r>
            <w:proofErr w:type="spellEnd"/>
            <w:r w:rsidRPr="00E44CC4">
              <w:rPr>
                <w:rFonts w:eastAsia="Times New Roman"/>
                <w:b/>
                <w:bCs/>
                <w:color w:val="000000"/>
                <w:sz w:val="22"/>
                <w:szCs w:val="22"/>
                <w:lang w:val="en-US"/>
              </w:rPr>
              <w:t xml:space="preserve">  :</w:t>
            </w:r>
          </w:p>
        </w:tc>
        <w:tc>
          <w:tcPr>
            <w:tcW w:w="1420"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14,633,330</w:t>
            </w:r>
          </w:p>
        </w:tc>
        <w:tc>
          <w:tcPr>
            <w:tcW w:w="1141"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230,000</w:t>
            </w:r>
          </w:p>
        </w:tc>
        <w:tc>
          <w:tcPr>
            <w:tcW w:w="1220"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14,863,330</w:t>
            </w:r>
          </w:p>
        </w:tc>
      </w:tr>
      <w:tr w:rsidR="00423FD2"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center"/>
              <w:rPr>
                <w:rFonts w:eastAsia="Times New Roman"/>
                <w:color w:val="000000"/>
                <w:lang w:val="en-US"/>
              </w:rPr>
            </w:pPr>
          </w:p>
        </w:tc>
        <w:tc>
          <w:tcPr>
            <w:tcW w:w="810"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center"/>
              <w:rPr>
                <w:rFonts w:eastAsia="Times New Roman"/>
                <w:color w:val="000000"/>
                <w:lang w:val="en-US"/>
              </w:rPr>
            </w:pPr>
          </w:p>
        </w:tc>
        <w:tc>
          <w:tcPr>
            <w:tcW w:w="1289" w:type="dxa"/>
            <w:tcBorders>
              <w:top w:val="nil"/>
              <w:left w:val="nil"/>
              <w:bottom w:val="single" w:sz="4" w:space="0" w:color="auto"/>
              <w:right w:val="single" w:sz="4" w:space="0" w:color="auto"/>
            </w:tcBorders>
            <w:shd w:val="clear" w:color="000000" w:fill="FFFFFF"/>
            <w:noWrap/>
            <w:vAlign w:val="center"/>
            <w:hideMark/>
          </w:tcPr>
          <w:p w:rsidR="00423FD2" w:rsidRPr="00E44CC4" w:rsidRDefault="00423FD2" w:rsidP="00E44CC4">
            <w:pPr>
              <w:widowControl/>
              <w:suppressAutoHyphens w:val="0"/>
              <w:rPr>
                <w:rFonts w:eastAsia="Times New Roman"/>
                <w:color w:val="000000"/>
                <w:lang w:val="en-US"/>
              </w:rPr>
            </w:pPr>
          </w:p>
        </w:tc>
        <w:tc>
          <w:tcPr>
            <w:tcW w:w="659"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center"/>
              <w:rPr>
                <w:rFonts w:eastAsia="Times New Roman"/>
                <w:color w:val="000000"/>
                <w:lang w:val="en-US"/>
              </w:rPr>
            </w:pPr>
          </w:p>
        </w:tc>
        <w:tc>
          <w:tcPr>
            <w:tcW w:w="540"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center"/>
              <w:rPr>
                <w:rFonts w:eastAsia="Times New Roman"/>
                <w:color w:val="000000"/>
                <w:lang w:val="en-US"/>
              </w:rPr>
            </w:pPr>
          </w:p>
        </w:tc>
        <w:tc>
          <w:tcPr>
            <w:tcW w:w="810"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center"/>
              <w:rPr>
                <w:rFonts w:eastAsia="Times New Roman"/>
                <w:color w:val="000000"/>
                <w:lang w:val="en-US"/>
              </w:rPr>
            </w:pPr>
          </w:p>
        </w:tc>
        <w:tc>
          <w:tcPr>
            <w:tcW w:w="5162" w:type="dxa"/>
            <w:tcBorders>
              <w:top w:val="nil"/>
              <w:left w:val="nil"/>
              <w:bottom w:val="single" w:sz="4" w:space="0" w:color="auto"/>
              <w:right w:val="single" w:sz="4" w:space="0" w:color="auto"/>
            </w:tcBorders>
            <w:shd w:val="clear" w:color="auto" w:fill="auto"/>
            <w:vAlign w:val="center"/>
            <w:hideMark/>
          </w:tcPr>
          <w:p w:rsidR="00423FD2" w:rsidRPr="00E44CC4" w:rsidRDefault="00423FD2" w:rsidP="00E44CC4">
            <w:pPr>
              <w:widowControl/>
              <w:suppressAutoHyphens w:val="0"/>
              <w:rPr>
                <w:rFonts w:eastAsia="Times New Roman"/>
                <w:color w:val="000000"/>
                <w:lang w:val="en-US"/>
              </w:rPr>
            </w:pPr>
          </w:p>
        </w:tc>
        <w:tc>
          <w:tcPr>
            <w:tcW w:w="1420"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jc w:val="right"/>
              <w:rPr>
                <w:rFonts w:eastAsia="Times New Roman"/>
                <w:color w:val="000000"/>
                <w:lang w:val="en-US"/>
              </w:rPr>
            </w:pPr>
          </w:p>
        </w:tc>
        <w:tc>
          <w:tcPr>
            <w:tcW w:w="1141"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rPr>
                <w:rFonts w:eastAsia="Times New Roman"/>
                <w:color w:val="000000"/>
                <w:lang w:val="en-US"/>
              </w:rPr>
            </w:pPr>
          </w:p>
        </w:tc>
        <w:tc>
          <w:tcPr>
            <w:tcW w:w="1220" w:type="dxa"/>
            <w:tcBorders>
              <w:top w:val="nil"/>
              <w:left w:val="nil"/>
              <w:bottom w:val="single" w:sz="4" w:space="0" w:color="auto"/>
              <w:right w:val="single" w:sz="4" w:space="0" w:color="auto"/>
            </w:tcBorders>
            <w:shd w:val="clear" w:color="auto" w:fill="auto"/>
            <w:noWrap/>
            <w:vAlign w:val="center"/>
            <w:hideMark/>
          </w:tcPr>
          <w:p w:rsidR="00423FD2" w:rsidRPr="00E44CC4" w:rsidRDefault="00423FD2" w:rsidP="00E44CC4">
            <w:pPr>
              <w:widowControl/>
              <w:suppressAutoHyphens w:val="0"/>
              <w:rPr>
                <w:rFonts w:eastAsia="Times New Roman"/>
                <w:color w:val="000000"/>
                <w:lang w:val="en-US"/>
              </w:rPr>
            </w:pP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5</w:t>
            </w:r>
          </w:p>
        </w:tc>
        <w:tc>
          <w:tcPr>
            <w:tcW w:w="810"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5.04</w:t>
            </w:r>
          </w:p>
        </w:tc>
        <w:tc>
          <w:tcPr>
            <w:tcW w:w="1289"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659"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540"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810"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5162"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ЗАВИЧАЈНИ МУЗЕЈ</w:t>
            </w:r>
          </w:p>
        </w:tc>
        <w:tc>
          <w:tcPr>
            <w:tcW w:w="1420"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141"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1220" w:type="dxa"/>
            <w:tcBorders>
              <w:top w:val="single" w:sz="4" w:space="0" w:color="auto"/>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r w:rsidRPr="00E44CC4">
              <w:rPr>
                <w:rFonts w:eastAsia="Times New Roman"/>
                <w:b/>
                <w:bCs/>
                <w:sz w:val="22"/>
                <w:szCs w:val="22"/>
                <w:lang w:val="en-US"/>
              </w:rPr>
              <w:t>ПРОГРАМ 13 - РАЗВОЈ КУЛТУРЕ И ИНФОРМИСАЊА</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lastRenderedPageBreak/>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1201-0001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Функционисање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локалних</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установа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Плате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додаци</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запослених</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зараде</w:t>
            </w:r>
            <w:proofErr w:type="spellEnd"/>
            <w:r w:rsidRPr="00E44CC4">
              <w:rPr>
                <w:rFonts w:eastAsia="Times New Roman"/>
                <w:color w:val="000000"/>
                <w:sz w:val="22"/>
                <w:szCs w:val="22"/>
                <w:lang w:val="en-US"/>
              </w:rPr>
              <w:t>)</w:t>
            </w:r>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10,230,130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10,230,130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Социјални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доприноси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терет</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послодавца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1,703,320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1,703,320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Награде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запосленима</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остали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посебни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расходи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Стални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трошкови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2,260,000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4,410,000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4,510,000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Специјализоване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услуге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Текуће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поправке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одржавање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Материјал</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850,000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482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Порези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обавезне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таксе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казне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пенали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Машине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опрема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22,673,450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22,673,450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22,673,450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22,983,450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програмску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активност</w:t>
            </w:r>
            <w:proofErr w:type="spellEnd"/>
            <w:r w:rsidRPr="00E44CC4">
              <w:rPr>
                <w:rFonts w:eastAsia="Times New Roman"/>
                <w:b/>
                <w:bCs/>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22,673,450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22,673,450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програмску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активност</w:t>
            </w:r>
            <w:proofErr w:type="spellEnd"/>
            <w:r w:rsidRPr="00E44CC4">
              <w:rPr>
                <w:rFonts w:eastAsia="Times New Roman"/>
                <w:b/>
                <w:bCs/>
                <w:color w:val="000000"/>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22,673,450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310,000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22,983,450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5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1201-0003</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Унапређење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система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очувања</w:t>
            </w:r>
            <w:proofErr w:type="spellEnd"/>
            <w:r w:rsidRPr="00E44CC4">
              <w:rPr>
                <w:rFonts w:eastAsia="Times New Roman"/>
                <w:b/>
                <w:bCs/>
                <w:sz w:val="22"/>
                <w:szCs w:val="22"/>
                <w:lang w:val="en-US"/>
              </w:rPr>
              <w:t xml:space="preserve"> и </w:t>
            </w:r>
            <w:proofErr w:type="spellStart"/>
            <w:r w:rsidRPr="00E44CC4">
              <w:rPr>
                <w:rFonts w:eastAsia="Times New Roman"/>
                <w:b/>
                <w:bCs/>
                <w:sz w:val="22"/>
                <w:szCs w:val="22"/>
                <w:lang w:val="en-US"/>
              </w:rPr>
              <w:t>представљања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културно-историјског</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наслеђа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Нематеријална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имовина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lastRenderedPageBreak/>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програмску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активност</w:t>
            </w:r>
            <w:proofErr w:type="spellEnd"/>
            <w:r w:rsidRPr="00E44CC4">
              <w:rPr>
                <w:rFonts w:eastAsia="Times New Roman"/>
                <w:b/>
                <w:bCs/>
                <w:sz w:val="22"/>
                <w:szCs w:val="22"/>
                <w:lang w:val="en-US"/>
              </w:rPr>
              <w:t xml:space="preserve"> 1201-0003:</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програмску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активност</w:t>
            </w:r>
            <w:proofErr w:type="spellEnd"/>
            <w:r w:rsidRPr="00E44CC4">
              <w:rPr>
                <w:rFonts w:eastAsia="Times New Roman"/>
                <w:b/>
                <w:bCs/>
                <w:color w:val="000000"/>
                <w:sz w:val="22"/>
                <w:szCs w:val="22"/>
                <w:lang w:val="en-US"/>
              </w:rPr>
              <w:t xml:space="preserve"> 1201-0003:</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500,000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1201-4001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Пројекти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финансирани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из</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Министарства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1289" w:type="dxa"/>
            <w:tcBorders>
              <w:top w:val="nil"/>
              <w:left w:val="nil"/>
              <w:bottom w:val="single" w:sz="4" w:space="0" w:color="auto"/>
              <w:right w:val="single" w:sz="4" w:space="0" w:color="auto"/>
            </w:tcBorders>
            <w:shd w:val="clear" w:color="000000" w:fill="FFFFFF"/>
            <w:noWrap/>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1289" w:type="dxa"/>
            <w:tcBorders>
              <w:top w:val="nil"/>
              <w:left w:val="nil"/>
              <w:bottom w:val="single" w:sz="4" w:space="0" w:color="auto"/>
              <w:right w:val="single" w:sz="4" w:space="0" w:color="auto"/>
            </w:tcBorders>
            <w:shd w:val="clear" w:color="000000" w:fill="FFFFFF"/>
            <w:noWrap/>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Стални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трошкови</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c>
          <w:tcPr>
            <w:tcW w:w="1141"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374,175</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374,175</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619,000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619,000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Специјализоване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услуге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1,320,500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1,320,500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Текуће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поправке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одржавање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Материјал</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386,325</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386,325</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Машине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опрема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Нематеријална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имовина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07</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осталих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нивоа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власти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3,045,000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3,045,000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3,045,000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3,045,000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пројекат</w:t>
            </w:r>
            <w:proofErr w:type="spellEnd"/>
            <w:r w:rsidRPr="00E44CC4">
              <w:rPr>
                <w:rFonts w:eastAsia="Times New Roman"/>
                <w:b/>
                <w:bCs/>
                <w:sz w:val="22"/>
                <w:szCs w:val="22"/>
                <w:lang w:val="en-US"/>
              </w:rPr>
              <w:t xml:space="preserve"> 1201-4001:</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07</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осталих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нивоа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власти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3,045,000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3,045,000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пројекат</w:t>
            </w:r>
            <w:proofErr w:type="spellEnd"/>
            <w:r w:rsidRPr="00E44CC4">
              <w:rPr>
                <w:rFonts w:eastAsia="Times New Roman"/>
                <w:b/>
                <w:bCs/>
                <w:color w:val="000000"/>
                <w:sz w:val="22"/>
                <w:szCs w:val="22"/>
                <w:lang w:val="en-US"/>
              </w:rPr>
              <w:t xml:space="preserve"> 1201-4001:</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3,045,000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3,045,000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Завичајни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музеј</w:t>
            </w:r>
            <w:proofErr w:type="spellEnd"/>
            <w:r w:rsidRPr="00E44CC4">
              <w:rPr>
                <w:rFonts w:eastAsia="Times New Roman"/>
                <w:b/>
                <w:bCs/>
                <w:sz w:val="22"/>
                <w:szCs w:val="22"/>
                <w:lang w:val="en-US"/>
              </w:rPr>
              <w:t>:</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26,218,450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26,218,450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310,000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07</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осталих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нивоа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власти</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000000" w:fill="FAC090"/>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Завичајни</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музеј</w:t>
            </w:r>
            <w:proofErr w:type="spellEnd"/>
            <w:r w:rsidRPr="00E44CC4">
              <w:rPr>
                <w:rFonts w:eastAsia="Times New Roman"/>
                <w:b/>
                <w:bCs/>
                <w:color w:val="000000"/>
                <w:sz w:val="22"/>
                <w:szCs w:val="22"/>
                <w:lang w:val="en-US"/>
              </w:rPr>
              <w:t xml:space="preserve"> :</w:t>
            </w:r>
          </w:p>
        </w:tc>
        <w:tc>
          <w:tcPr>
            <w:tcW w:w="1420"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26,218,450</w:t>
            </w:r>
          </w:p>
        </w:tc>
        <w:tc>
          <w:tcPr>
            <w:tcW w:w="1141"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310,000</w:t>
            </w:r>
          </w:p>
        </w:tc>
        <w:tc>
          <w:tcPr>
            <w:tcW w:w="1220" w:type="dxa"/>
            <w:tcBorders>
              <w:top w:val="nil"/>
              <w:left w:val="nil"/>
              <w:bottom w:val="single" w:sz="4" w:space="0" w:color="auto"/>
              <w:right w:val="single" w:sz="4" w:space="0" w:color="auto"/>
            </w:tcBorders>
            <w:shd w:val="clear" w:color="000000" w:fill="FAC090"/>
            <w:noWrap/>
            <w:vAlign w:val="bottom"/>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26,528,450</w:t>
            </w:r>
          </w:p>
        </w:tc>
      </w:tr>
      <w:tr w:rsidR="00423FD2"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1289"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659"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54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sz w:val="20"/>
                <w:szCs w:val="20"/>
                <w:lang w:val="en-US"/>
              </w:rPr>
            </w:pP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sz w:val="20"/>
                <w:szCs w:val="20"/>
                <w:lang w:val="en-US"/>
              </w:rPr>
            </w:pPr>
          </w:p>
        </w:tc>
        <w:tc>
          <w:tcPr>
            <w:tcW w:w="5162"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142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right"/>
              <w:rPr>
                <w:rFonts w:eastAsia="Times New Roman"/>
                <w:lang w:val="en-US"/>
              </w:rPr>
            </w:pPr>
          </w:p>
        </w:tc>
        <w:tc>
          <w:tcPr>
            <w:tcW w:w="1141"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lang w:val="en-US"/>
              </w:rPr>
            </w:pP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rPr>
                <w:rFonts w:eastAsia="Times New Roman"/>
                <w:color w:val="000000"/>
                <w:lang w:val="en-US"/>
              </w:rPr>
            </w:pPr>
          </w:p>
        </w:tc>
      </w:tr>
      <w:tr w:rsidR="00423FD2"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1289"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659"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54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sz w:val="20"/>
                <w:szCs w:val="20"/>
                <w:lang w:val="en-US"/>
              </w:rPr>
            </w:pP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sz w:val="20"/>
                <w:szCs w:val="20"/>
                <w:lang w:val="en-US"/>
              </w:rPr>
            </w:pPr>
          </w:p>
        </w:tc>
        <w:tc>
          <w:tcPr>
            <w:tcW w:w="5162"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b/>
                <w:bCs/>
                <w:lang w:val="en-US"/>
              </w:rPr>
            </w:pPr>
          </w:p>
        </w:tc>
        <w:tc>
          <w:tcPr>
            <w:tcW w:w="142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right"/>
              <w:rPr>
                <w:rFonts w:eastAsia="Times New Roman"/>
                <w:lang w:val="en-US"/>
              </w:rPr>
            </w:pPr>
          </w:p>
        </w:tc>
        <w:tc>
          <w:tcPr>
            <w:tcW w:w="1141"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jc w:val="center"/>
              <w:rPr>
                <w:rFonts w:eastAsia="Times New Roman"/>
                <w:lang w:val="en-US"/>
              </w:rPr>
            </w:pP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423FD2" w:rsidRPr="00E44CC4" w:rsidRDefault="00423FD2" w:rsidP="00E44CC4">
            <w:pPr>
              <w:widowControl/>
              <w:suppressAutoHyphens w:val="0"/>
              <w:rPr>
                <w:rFonts w:eastAsia="Times New Roman"/>
                <w:color w:val="000000"/>
                <w:lang w:val="en-US"/>
              </w:rPr>
            </w:pP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lastRenderedPageBreak/>
              <w:t>5</w:t>
            </w:r>
          </w:p>
        </w:tc>
        <w:tc>
          <w:tcPr>
            <w:tcW w:w="81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5.04</w:t>
            </w:r>
          </w:p>
        </w:tc>
        <w:tc>
          <w:tcPr>
            <w:tcW w:w="1289"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659"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 </w:t>
            </w:r>
          </w:p>
        </w:tc>
        <w:tc>
          <w:tcPr>
            <w:tcW w:w="54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81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sz w:val="20"/>
                <w:szCs w:val="20"/>
                <w:lang w:val="en-US"/>
              </w:rPr>
            </w:pPr>
            <w:r w:rsidRPr="00E44CC4">
              <w:rPr>
                <w:rFonts w:eastAsia="Times New Roman"/>
                <w:b/>
                <w:bCs/>
                <w:sz w:val="20"/>
                <w:szCs w:val="20"/>
                <w:lang w:val="en-US"/>
              </w:rPr>
              <w:t> </w:t>
            </w:r>
          </w:p>
        </w:tc>
        <w:tc>
          <w:tcPr>
            <w:tcW w:w="5162"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b/>
                <w:bCs/>
                <w:lang w:val="en-US"/>
              </w:rPr>
            </w:pPr>
            <w:r w:rsidRPr="00E44CC4">
              <w:rPr>
                <w:rFonts w:eastAsia="Times New Roman"/>
                <w:b/>
                <w:bCs/>
                <w:sz w:val="22"/>
                <w:szCs w:val="22"/>
                <w:lang w:val="en-US"/>
              </w:rPr>
              <w:t>ДОМ  КУЛТУРЕ</w:t>
            </w:r>
          </w:p>
        </w:tc>
        <w:tc>
          <w:tcPr>
            <w:tcW w:w="142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141"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000000" w:fill="D7E4BC"/>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r w:rsidRPr="00E44CC4">
              <w:rPr>
                <w:rFonts w:eastAsia="Times New Roman"/>
                <w:b/>
                <w:bCs/>
                <w:sz w:val="22"/>
                <w:szCs w:val="22"/>
                <w:lang w:val="en-US"/>
              </w:rPr>
              <w:t>ПРОГРАМ 13 - РАЗВОЈ КУЛТУРЕ И ИНФОРМИСАЊА</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1201-0001</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Функционисање</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локалних</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установа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Плате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додаци</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запослених</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зараде</w:t>
            </w:r>
            <w:proofErr w:type="spellEnd"/>
            <w:r w:rsidRPr="00E44CC4">
              <w:rPr>
                <w:rFonts w:eastAsia="Times New Roman"/>
                <w:color w:val="000000"/>
                <w:sz w:val="22"/>
                <w:szCs w:val="22"/>
                <w:lang w:val="en-US"/>
              </w:rPr>
              <w:t>)</w:t>
            </w:r>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5,567,110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5,567,110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Социјални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доприноси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терет</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послодавца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926,930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926,930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Социјална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давања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Стални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трошкови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7,720,000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50,000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7,770,000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180,000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7,650,000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7,680,000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Специјализоване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услуге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3,640,000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3,640,000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425</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Текуће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поправке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одржавање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Материјал</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1,550,000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1,550,000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482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Порези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обавезне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таксе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казне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пенали</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Машине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опрема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Залихе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робе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даљу</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продају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90,000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30,624,040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30,824,040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програмску</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активност</w:t>
            </w:r>
            <w:proofErr w:type="spellEnd"/>
            <w:r w:rsidRPr="00E44CC4">
              <w:rPr>
                <w:rFonts w:eastAsia="Times New Roman"/>
                <w:b/>
                <w:bCs/>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програмску</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активност</w:t>
            </w:r>
            <w:proofErr w:type="spellEnd"/>
            <w:r w:rsidRPr="00E44CC4">
              <w:rPr>
                <w:rFonts w:eastAsia="Times New Roman"/>
                <w:b/>
                <w:bCs/>
                <w:color w:val="000000"/>
                <w:sz w:val="22"/>
                <w:szCs w:val="22"/>
                <w:lang w:val="en-US"/>
              </w:rPr>
              <w:t xml:space="preserve"> 1201-0001:</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30,624,040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200,000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30,824,040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540"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810"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5162"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1420"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1141"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c>
          <w:tcPr>
            <w:tcW w:w="1220" w:type="dxa"/>
            <w:tcBorders>
              <w:top w:val="nil"/>
              <w:left w:val="nil"/>
              <w:bottom w:val="nil"/>
              <w:right w:val="nil"/>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1201-4007</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b/>
                <w:bCs/>
                <w:color w:val="000000"/>
                <w:lang w:val="en-US"/>
              </w:rPr>
            </w:pPr>
            <w:r w:rsidRPr="00E44CC4">
              <w:rPr>
                <w:rFonts w:eastAsia="Times New Roman"/>
                <w:b/>
                <w:bCs/>
                <w:color w:val="000000"/>
                <w:sz w:val="22"/>
                <w:szCs w:val="22"/>
                <w:lang w:val="en-US"/>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single" w:sz="4" w:space="0" w:color="auto"/>
              <w:left w:val="nil"/>
              <w:bottom w:val="single" w:sz="4" w:space="0" w:color="auto"/>
              <w:right w:val="single" w:sz="4" w:space="0" w:color="auto"/>
            </w:tcBorders>
            <w:shd w:val="clear" w:color="000000" w:fill="DBEEF3"/>
            <w:vAlign w:val="center"/>
            <w:hideMark/>
          </w:tcPr>
          <w:p w:rsidR="00E44CC4" w:rsidRPr="00E44CC4" w:rsidRDefault="00E44CC4" w:rsidP="00E44CC4">
            <w:pPr>
              <w:widowControl/>
              <w:suppressAutoHyphens w:val="0"/>
              <w:jc w:val="center"/>
              <w:rPr>
                <w:rFonts w:eastAsia="Times New Roman"/>
                <w:b/>
                <w:bCs/>
                <w:lang w:val="en-US"/>
              </w:rPr>
            </w:pPr>
            <w:proofErr w:type="spellStart"/>
            <w:r w:rsidRPr="00E44CC4">
              <w:rPr>
                <w:rFonts w:eastAsia="Times New Roman"/>
                <w:b/>
                <w:bCs/>
                <w:sz w:val="22"/>
                <w:szCs w:val="22"/>
                <w:lang w:val="en-US"/>
              </w:rPr>
              <w:t>Пројекат</w:t>
            </w:r>
            <w:proofErr w:type="spellEnd"/>
            <w:r w:rsidRPr="00E44CC4">
              <w:rPr>
                <w:rFonts w:eastAsia="Times New Roman"/>
                <w:b/>
                <w:bCs/>
                <w:sz w:val="22"/>
                <w:szCs w:val="22"/>
                <w:lang w:val="en-US"/>
              </w:rPr>
              <w:t>: Youth art network</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820</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i/>
                <w:iCs/>
                <w:lang w:val="en-US"/>
              </w:rPr>
            </w:pPr>
            <w:proofErr w:type="spellStart"/>
            <w:r w:rsidRPr="00E44CC4">
              <w:rPr>
                <w:rFonts w:eastAsia="Times New Roman"/>
                <w:i/>
                <w:iCs/>
                <w:sz w:val="22"/>
                <w:szCs w:val="22"/>
                <w:lang w:val="en-US"/>
              </w:rPr>
              <w:t>Услуге</w:t>
            </w:r>
            <w:proofErr w:type="spellEnd"/>
            <w:r w:rsidRPr="00E44CC4">
              <w:rPr>
                <w:rFonts w:eastAsia="Times New Roman"/>
                <w:i/>
                <w:iCs/>
                <w:sz w:val="22"/>
                <w:szCs w:val="22"/>
                <w:lang w:val="en-US"/>
              </w:rPr>
              <w:t xml:space="preserve"> </w:t>
            </w:r>
            <w:proofErr w:type="spellStart"/>
            <w:r w:rsidRPr="00E44CC4">
              <w:rPr>
                <w:rFonts w:eastAsia="Times New Roman"/>
                <w:i/>
                <w:iCs/>
                <w:sz w:val="22"/>
                <w:szCs w:val="22"/>
                <w:lang w:val="en-US"/>
              </w:rPr>
              <w:t>културе</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Плате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додаци</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накнаде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запослених</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зараде</w:t>
            </w:r>
            <w:proofErr w:type="spellEnd"/>
            <w:r w:rsidRPr="00E44CC4">
              <w:rPr>
                <w:rFonts w:eastAsia="Times New Roman"/>
                <w:color w:val="000000"/>
                <w:sz w:val="22"/>
                <w:szCs w:val="22"/>
                <w:lang w:val="en-US"/>
              </w:rPr>
              <w:t>)</w:t>
            </w:r>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428,600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428,600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lastRenderedPageBreak/>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Социјални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доприноси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на</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терет</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послодавца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198,121</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198,121</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b/>
                <w:bCs/>
                <w:color w:val="000000"/>
                <w:lang w:val="en-US"/>
              </w:rPr>
            </w:pPr>
            <w:r w:rsidRPr="00E44CC4">
              <w:rPr>
                <w:rFonts w:eastAsia="Times New Roman"/>
                <w:b/>
                <w:bCs/>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i/>
                <w:iCs/>
                <w:color w:val="000000"/>
                <w:lang w:val="en-US"/>
              </w:rPr>
            </w:pPr>
            <w:r w:rsidRPr="00E44CC4">
              <w:rPr>
                <w:rFonts w:eastAsia="Times New Roman"/>
                <w:i/>
                <w:iCs/>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Трошкови</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путовања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20,741</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20,741</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423</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Услуге</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по</w:t>
            </w:r>
            <w:proofErr w:type="spellEnd"/>
            <w:r w:rsidRPr="00E44CC4">
              <w:rPr>
                <w:rFonts w:eastAsia="Times New Roman"/>
                <w:color w:val="000000"/>
                <w:sz w:val="22"/>
                <w:szCs w:val="22"/>
                <w:lang w:val="en-US"/>
              </w:rPr>
              <w:t xml:space="preserve"> </w:t>
            </w:r>
            <w:proofErr w:type="spellStart"/>
            <w:r w:rsidRPr="00E44CC4">
              <w:rPr>
                <w:rFonts w:eastAsia="Times New Roman"/>
                <w:color w:val="000000"/>
                <w:sz w:val="22"/>
                <w:szCs w:val="22"/>
                <w:lang w:val="en-US"/>
              </w:rPr>
              <w:t>уговору</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4,229,350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3,290,722</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7,520,072</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512</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color w:val="000000"/>
                <w:lang w:val="en-US"/>
              </w:rPr>
            </w:pPr>
            <w:proofErr w:type="spellStart"/>
            <w:r w:rsidRPr="00E44CC4">
              <w:rPr>
                <w:rFonts w:eastAsia="Times New Roman"/>
                <w:color w:val="000000"/>
                <w:sz w:val="22"/>
                <w:szCs w:val="22"/>
                <w:lang w:val="en-US"/>
              </w:rPr>
              <w:t>Машине</w:t>
            </w:r>
            <w:proofErr w:type="spellEnd"/>
            <w:r w:rsidRPr="00E44CC4">
              <w:rPr>
                <w:rFonts w:eastAsia="Times New Roman"/>
                <w:color w:val="000000"/>
                <w:sz w:val="22"/>
                <w:szCs w:val="22"/>
                <w:lang w:val="en-US"/>
              </w:rPr>
              <w:t xml:space="preserve"> и </w:t>
            </w:r>
            <w:proofErr w:type="spellStart"/>
            <w:r w:rsidRPr="00E44CC4">
              <w:rPr>
                <w:rFonts w:eastAsia="Times New Roman"/>
                <w:color w:val="000000"/>
                <w:sz w:val="22"/>
                <w:szCs w:val="22"/>
                <w:lang w:val="en-US"/>
              </w:rPr>
              <w:t>опрема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2,363,320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2,405,216</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4,768,536</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функцију</w:t>
            </w:r>
            <w:proofErr w:type="spellEnd"/>
            <w:r w:rsidRPr="00E44CC4">
              <w:rPr>
                <w:rFonts w:eastAsia="Times New Roman"/>
                <w:b/>
                <w:bCs/>
                <w:sz w:val="22"/>
                <w:szCs w:val="22"/>
                <w:lang w:val="en-US"/>
              </w:rPr>
              <w:t xml:space="preserve"> 820:</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2,363,320</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8,706,720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међународних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организација</w:t>
            </w:r>
            <w:proofErr w:type="spellEnd"/>
          </w:p>
        </w:tc>
        <w:tc>
          <w:tcPr>
            <w:tcW w:w="14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6,592,670</w:t>
            </w:r>
          </w:p>
        </w:tc>
        <w:tc>
          <w:tcPr>
            <w:tcW w:w="1141"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12,936,070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Функција</w:t>
            </w:r>
            <w:proofErr w:type="spellEnd"/>
            <w:r w:rsidRPr="00E44CC4">
              <w:rPr>
                <w:rFonts w:eastAsia="Times New Roman"/>
                <w:b/>
                <w:bCs/>
                <w:color w:val="000000"/>
                <w:sz w:val="22"/>
                <w:szCs w:val="22"/>
                <w:lang w:val="en-US"/>
              </w:rPr>
              <w:t xml:space="preserve"> 820:</w:t>
            </w:r>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6,592,670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12,936,070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пројекат</w:t>
            </w:r>
            <w:proofErr w:type="spellEnd"/>
            <w:r w:rsidRPr="00E44CC4">
              <w:rPr>
                <w:rFonts w:eastAsia="Times New Roman"/>
                <w:b/>
                <w:bCs/>
                <w:sz w:val="22"/>
                <w:szCs w:val="22"/>
                <w:lang w:val="en-US"/>
              </w:rPr>
              <w:t xml:space="preserve"> 1201-4007:</w:t>
            </w:r>
          </w:p>
        </w:tc>
        <w:tc>
          <w:tcPr>
            <w:tcW w:w="1420" w:type="dxa"/>
            <w:tcBorders>
              <w:top w:val="nil"/>
              <w:left w:val="nil"/>
              <w:bottom w:val="single" w:sz="4" w:space="0" w:color="auto"/>
              <w:right w:val="single" w:sz="4" w:space="0" w:color="auto"/>
            </w:tcBorders>
            <w:shd w:val="clear" w:color="000000" w:fill="FFFFFF"/>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000000" w:fill="FFFFFF"/>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међународних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организација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6,592,670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12,936,070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пројекат</w:t>
            </w:r>
            <w:proofErr w:type="spellEnd"/>
            <w:r w:rsidRPr="00E44CC4">
              <w:rPr>
                <w:rFonts w:eastAsia="Times New Roman"/>
                <w:b/>
                <w:bCs/>
                <w:color w:val="000000"/>
                <w:sz w:val="22"/>
                <w:szCs w:val="22"/>
                <w:lang w:val="en-US"/>
              </w:rPr>
              <w:t xml:space="preserve"> 1201-4007:</w:t>
            </w:r>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6,592,670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12,936,070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8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5162"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141"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rPr>
                <w:rFonts w:ascii="Calibri" w:eastAsia="Times New Roman" w:hAnsi="Calibri"/>
                <w:color w:val="000000"/>
                <w:lang w:val="en-US"/>
              </w:rPr>
            </w:pPr>
            <w:r w:rsidRPr="00E44CC4">
              <w:rPr>
                <w:rFonts w:ascii="Calibri" w:eastAsia="Times New Roman" w:hAnsi="Calibri"/>
                <w:color w:val="000000"/>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 </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b/>
                <w:bCs/>
                <w:lang w:val="en-US"/>
              </w:rPr>
            </w:pPr>
            <w:proofErr w:type="spellStart"/>
            <w:r w:rsidRPr="00E44CC4">
              <w:rPr>
                <w:rFonts w:eastAsia="Times New Roman"/>
                <w:b/>
                <w:bCs/>
                <w:sz w:val="22"/>
                <w:szCs w:val="22"/>
                <w:lang w:val="en-US"/>
              </w:rPr>
              <w:t>Извори</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финансирања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за</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Дом</w:t>
            </w:r>
            <w:proofErr w:type="spellEnd"/>
            <w:r w:rsidRPr="00E44CC4">
              <w:rPr>
                <w:rFonts w:eastAsia="Times New Roman"/>
                <w:b/>
                <w:bCs/>
                <w:sz w:val="22"/>
                <w:szCs w:val="22"/>
                <w:lang w:val="en-US"/>
              </w:rPr>
              <w:t xml:space="preserve">  </w:t>
            </w:r>
            <w:proofErr w:type="spellStart"/>
            <w:r w:rsidRPr="00E44CC4">
              <w:rPr>
                <w:rFonts w:eastAsia="Times New Roman"/>
                <w:b/>
                <w:bCs/>
                <w:sz w:val="22"/>
                <w:szCs w:val="22"/>
                <w:lang w:val="en-US"/>
              </w:rPr>
              <w:t>културе</w:t>
            </w:r>
            <w:proofErr w:type="spellEnd"/>
            <w:r w:rsidRPr="00E44CC4">
              <w:rPr>
                <w:rFonts w:eastAsia="Times New Roman"/>
                <w:b/>
                <w:bCs/>
                <w:sz w:val="22"/>
                <w:szCs w:val="22"/>
                <w:lang w:val="en-US"/>
              </w:rPr>
              <w:t>:</w:t>
            </w:r>
          </w:p>
        </w:tc>
        <w:tc>
          <w:tcPr>
            <w:tcW w:w="14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c>
          <w:tcPr>
            <w:tcW w:w="1141"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lang w:val="en-US"/>
              </w:rPr>
            </w:pPr>
            <w:r w:rsidRPr="00E44CC4">
              <w:rPr>
                <w:rFonts w:eastAsia="Times New Roman"/>
                <w:sz w:val="22"/>
                <w:szCs w:val="22"/>
                <w:lang w:val="en-US"/>
              </w:rPr>
              <w:t> </w:t>
            </w:r>
          </w:p>
        </w:tc>
        <w:tc>
          <w:tcPr>
            <w:tcW w:w="122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right"/>
              <w:rPr>
                <w:rFonts w:eastAsia="Times New Roman"/>
                <w:b/>
                <w:bCs/>
                <w:lang w:val="en-US"/>
              </w:rPr>
            </w:pPr>
            <w:r w:rsidRPr="00E44CC4">
              <w:rPr>
                <w:rFonts w:eastAsia="Times New Roman"/>
                <w:b/>
                <w:bCs/>
                <w:sz w:val="22"/>
                <w:szCs w:val="22"/>
                <w:lang w:val="en-US"/>
              </w:rPr>
              <w:t> </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01</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из</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30,624,040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04</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Сопствени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приходи</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буџетских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корисника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 </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200,000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jc w:val="center"/>
              <w:rPr>
                <w:rFonts w:eastAsia="Times New Roman"/>
                <w:lang w:val="en-US"/>
              </w:rPr>
            </w:pPr>
            <w:r w:rsidRPr="00E44CC4">
              <w:rPr>
                <w:rFonts w:eastAsia="Times New Roman"/>
                <w:sz w:val="22"/>
                <w:szCs w:val="22"/>
                <w:lang w:val="en-US"/>
              </w:rPr>
              <w:t>06</w:t>
            </w:r>
          </w:p>
        </w:tc>
        <w:tc>
          <w:tcPr>
            <w:tcW w:w="5162" w:type="dxa"/>
            <w:tcBorders>
              <w:top w:val="nil"/>
              <w:left w:val="nil"/>
              <w:bottom w:val="single" w:sz="4" w:space="0" w:color="auto"/>
              <w:right w:val="single" w:sz="4" w:space="0" w:color="auto"/>
            </w:tcBorders>
            <w:shd w:val="clear" w:color="auto" w:fill="auto"/>
            <w:vAlign w:val="center"/>
            <w:hideMark/>
          </w:tcPr>
          <w:p w:rsidR="00E44CC4" w:rsidRPr="00E44CC4" w:rsidRDefault="00E44CC4" w:rsidP="00E44CC4">
            <w:pPr>
              <w:widowControl/>
              <w:suppressAutoHyphens w:val="0"/>
              <w:rPr>
                <w:rFonts w:eastAsia="Times New Roman"/>
                <w:lang w:val="en-US"/>
              </w:rPr>
            </w:pPr>
            <w:proofErr w:type="spellStart"/>
            <w:r w:rsidRPr="00E44CC4">
              <w:rPr>
                <w:rFonts w:eastAsia="Times New Roman"/>
                <w:sz w:val="22"/>
                <w:szCs w:val="22"/>
                <w:lang w:val="en-US"/>
              </w:rPr>
              <w:t>Донације</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од</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међународних</w:t>
            </w:r>
            <w:proofErr w:type="spellEnd"/>
            <w:r w:rsidRPr="00E44CC4">
              <w:rPr>
                <w:rFonts w:eastAsia="Times New Roman"/>
                <w:sz w:val="22"/>
                <w:szCs w:val="22"/>
                <w:lang w:val="en-US"/>
              </w:rPr>
              <w:t xml:space="preserve"> </w:t>
            </w:r>
            <w:proofErr w:type="spellStart"/>
            <w:r w:rsidRPr="00E44CC4">
              <w:rPr>
                <w:rFonts w:eastAsia="Times New Roman"/>
                <w:sz w:val="22"/>
                <w:szCs w:val="22"/>
                <w:lang w:val="en-US"/>
              </w:rPr>
              <w:t>организација</w:t>
            </w:r>
            <w:proofErr w:type="spellEnd"/>
          </w:p>
        </w:tc>
        <w:tc>
          <w:tcPr>
            <w:tcW w:w="1420"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6,592,670</w:t>
            </w:r>
          </w:p>
        </w:tc>
        <w:tc>
          <w:tcPr>
            <w:tcW w:w="1141"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6,343,400</w:t>
            </w:r>
          </w:p>
        </w:tc>
        <w:tc>
          <w:tcPr>
            <w:tcW w:w="1220" w:type="dxa"/>
            <w:tcBorders>
              <w:top w:val="nil"/>
              <w:left w:val="nil"/>
              <w:bottom w:val="single" w:sz="4" w:space="0" w:color="auto"/>
              <w:right w:val="single" w:sz="4" w:space="0" w:color="auto"/>
            </w:tcBorders>
            <w:shd w:val="clear" w:color="auto" w:fill="auto"/>
            <w:noWrap/>
            <w:vAlign w:val="bottom"/>
            <w:hideMark/>
          </w:tcPr>
          <w:p w:rsidR="00E44CC4" w:rsidRPr="00E44CC4" w:rsidRDefault="00E44CC4" w:rsidP="00E44CC4">
            <w:pPr>
              <w:widowControl/>
              <w:suppressAutoHyphens w:val="0"/>
              <w:jc w:val="right"/>
              <w:rPr>
                <w:rFonts w:eastAsia="Times New Roman"/>
                <w:color w:val="000000"/>
                <w:lang w:val="en-US"/>
              </w:rPr>
            </w:pPr>
            <w:r w:rsidRPr="00E44CC4">
              <w:rPr>
                <w:rFonts w:eastAsia="Times New Roman"/>
                <w:color w:val="000000"/>
                <w:sz w:val="22"/>
                <w:szCs w:val="22"/>
                <w:lang w:val="en-US"/>
              </w:rPr>
              <w:t>12,936,070</w:t>
            </w:r>
          </w:p>
        </w:tc>
      </w:tr>
      <w:tr w:rsidR="00E44CC4" w:rsidRPr="00E44CC4" w:rsidTr="00423FD2">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1289" w:type="dxa"/>
            <w:tcBorders>
              <w:top w:val="nil"/>
              <w:left w:val="nil"/>
              <w:bottom w:val="single" w:sz="4" w:space="0" w:color="auto"/>
              <w:right w:val="single" w:sz="4" w:space="0" w:color="auto"/>
            </w:tcBorders>
            <w:shd w:val="clear" w:color="000000" w:fill="FFFFFF"/>
            <w:noWrap/>
            <w:vAlign w:val="center"/>
            <w:hideMark/>
          </w:tcPr>
          <w:p w:rsidR="00E44CC4" w:rsidRPr="00E44CC4" w:rsidRDefault="00E44CC4" w:rsidP="00E44CC4">
            <w:pPr>
              <w:widowControl/>
              <w:suppressAutoHyphens w:val="0"/>
              <w:rPr>
                <w:rFonts w:eastAsia="Times New Roman"/>
                <w:color w:val="000000"/>
                <w:lang w:val="en-US"/>
              </w:rPr>
            </w:pPr>
            <w:r w:rsidRPr="00E44CC4">
              <w:rPr>
                <w:rFonts w:eastAsia="Times New Roman"/>
                <w:color w:val="000000"/>
                <w:sz w:val="22"/>
                <w:szCs w:val="22"/>
                <w:lang w:val="en-US"/>
              </w:rPr>
              <w:t> </w:t>
            </w:r>
          </w:p>
        </w:tc>
        <w:tc>
          <w:tcPr>
            <w:tcW w:w="659"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4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44CC4" w:rsidRPr="00E44CC4" w:rsidRDefault="00E44CC4" w:rsidP="00E44CC4">
            <w:pPr>
              <w:widowControl/>
              <w:suppressAutoHyphens w:val="0"/>
              <w:jc w:val="center"/>
              <w:rPr>
                <w:rFonts w:eastAsia="Times New Roman"/>
                <w:color w:val="000000"/>
                <w:lang w:val="en-US"/>
              </w:rPr>
            </w:pPr>
            <w:r w:rsidRPr="00E44CC4">
              <w:rPr>
                <w:rFonts w:eastAsia="Times New Roman"/>
                <w:color w:val="000000"/>
                <w:sz w:val="22"/>
                <w:szCs w:val="22"/>
                <w:lang w:val="en-US"/>
              </w:rPr>
              <w:t> </w:t>
            </w:r>
          </w:p>
        </w:tc>
        <w:tc>
          <w:tcPr>
            <w:tcW w:w="5162" w:type="dxa"/>
            <w:tcBorders>
              <w:top w:val="nil"/>
              <w:left w:val="nil"/>
              <w:bottom w:val="single" w:sz="4" w:space="0" w:color="auto"/>
              <w:right w:val="single" w:sz="4" w:space="0" w:color="auto"/>
            </w:tcBorders>
            <w:shd w:val="clear" w:color="000000" w:fill="FAC090"/>
            <w:vAlign w:val="center"/>
            <w:hideMark/>
          </w:tcPr>
          <w:p w:rsidR="00E44CC4" w:rsidRPr="00E44CC4" w:rsidRDefault="00E44CC4" w:rsidP="00E44CC4">
            <w:pPr>
              <w:widowControl/>
              <w:suppressAutoHyphens w:val="0"/>
              <w:rPr>
                <w:rFonts w:eastAsia="Times New Roman"/>
                <w:b/>
                <w:bCs/>
                <w:color w:val="000000"/>
                <w:lang w:val="en-US"/>
              </w:rPr>
            </w:pPr>
            <w:proofErr w:type="spellStart"/>
            <w:r w:rsidRPr="00E44CC4">
              <w:rPr>
                <w:rFonts w:eastAsia="Times New Roman"/>
                <w:b/>
                <w:bCs/>
                <w:color w:val="000000"/>
                <w:sz w:val="22"/>
                <w:szCs w:val="22"/>
                <w:lang w:val="en-US"/>
              </w:rPr>
              <w:t>Свега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за</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Дом</w:t>
            </w:r>
            <w:proofErr w:type="spellEnd"/>
            <w:r w:rsidRPr="00E44CC4">
              <w:rPr>
                <w:rFonts w:eastAsia="Times New Roman"/>
                <w:b/>
                <w:bCs/>
                <w:color w:val="000000"/>
                <w:sz w:val="22"/>
                <w:szCs w:val="22"/>
                <w:lang w:val="en-US"/>
              </w:rPr>
              <w:t xml:space="preserve"> </w:t>
            </w:r>
            <w:proofErr w:type="spellStart"/>
            <w:r w:rsidRPr="00E44CC4">
              <w:rPr>
                <w:rFonts w:eastAsia="Times New Roman"/>
                <w:b/>
                <w:bCs/>
                <w:color w:val="000000"/>
                <w:sz w:val="22"/>
                <w:szCs w:val="22"/>
                <w:lang w:val="en-US"/>
              </w:rPr>
              <w:t>културе</w:t>
            </w:r>
            <w:proofErr w:type="spellEnd"/>
            <w:r w:rsidRPr="00E44CC4">
              <w:rPr>
                <w:rFonts w:eastAsia="Times New Roman"/>
                <w:b/>
                <w:bCs/>
                <w:color w:val="000000"/>
                <w:sz w:val="22"/>
                <w:szCs w:val="22"/>
                <w:lang w:val="en-US"/>
              </w:rPr>
              <w:t xml:space="preserve"> :</w:t>
            </w:r>
          </w:p>
        </w:tc>
        <w:tc>
          <w:tcPr>
            <w:tcW w:w="1420"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37,216,710</w:t>
            </w:r>
          </w:p>
        </w:tc>
        <w:tc>
          <w:tcPr>
            <w:tcW w:w="1141" w:type="dxa"/>
            <w:tcBorders>
              <w:top w:val="nil"/>
              <w:left w:val="nil"/>
              <w:bottom w:val="single" w:sz="4" w:space="0" w:color="auto"/>
              <w:right w:val="single" w:sz="4" w:space="0" w:color="auto"/>
            </w:tcBorders>
            <w:shd w:val="clear" w:color="000000" w:fill="FAC090"/>
            <w:noWrap/>
            <w:vAlign w:val="center"/>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6,543,400</w:t>
            </w:r>
          </w:p>
        </w:tc>
        <w:tc>
          <w:tcPr>
            <w:tcW w:w="1220" w:type="dxa"/>
            <w:tcBorders>
              <w:top w:val="nil"/>
              <w:left w:val="nil"/>
              <w:bottom w:val="single" w:sz="4" w:space="0" w:color="auto"/>
              <w:right w:val="single" w:sz="4" w:space="0" w:color="auto"/>
            </w:tcBorders>
            <w:shd w:val="clear" w:color="000000" w:fill="FAC090"/>
            <w:noWrap/>
            <w:vAlign w:val="bottom"/>
            <w:hideMark/>
          </w:tcPr>
          <w:p w:rsidR="00E44CC4" w:rsidRPr="00E44CC4" w:rsidRDefault="00E44CC4" w:rsidP="00E44CC4">
            <w:pPr>
              <w:widowControl/>
              <w:suppressAutoHyphens w:val="0"/>
              <w:jc w:val="right"/>
              <w:rPr>
                <w:rFonts w:eastAsia="Times New Roman"/>
                <w:b/>
                <w:bCs/>
                <w:color w:val="000000"/>
                <w:lang w:val="en-US"/>
              </w:rPr>
            </w:pPr>
            <w:r w:rsidRPr="00E44CC4">
              <w:rPr>
                <w:rFonts w:eastAsia="Times New Roman"/>
                <w:b/>
                <w:bCs/>
                <w:color w:val="000000"/>
                <w:sz w:val="22"/>
                <w:szCs w:val="22"/>
                <w:lang w:val="en-US"/>
              </w:rPr>
              <w:t>43,760,110</w:t>
            </w:r>
          </w:p>
        </w:tc>
      </w:tr>
    </w:tbl>
    <w:p w:rsidR="00E44CC4" w:rsidRPr="00E44CC4" w:rsidRDefault="00E44CC4" w:rsidP="00E44CC4"/>
    <w:p w:rsidR="0084381C" w:rsidRPr="006E3044" w:rsidRDefault="0084381C" w:rsidP="00D25EA9">
      <w:pPr>
        <w:ind w:firstLine="709"/>
        <w:rPr>
          <w:rFonts w:ascii="Tahoma" w:hAnsi="Tahoma" w:cs="Tahoma"/>
          <w:sz w:val="20"/>
          <w:szCs w:val="20"/>
        </w:rPr>
      </w:pPr>
    </w:p>
    <w:p w:rsidR="00F51EE9" w:rsidRPr="006E3044" w:rsidRDefault="00F51EE9" w:rsidP="00F51EE9">
      <w:pPr>
        <w:pStyle w:val="NormalWeb"/>
        <w:spacing w:after="0"/>
        <w:ind w:firstLine="709"/>
        <w:rPr>
          <w:rFonts w:ascii="Tahoma" w:hAnsi="Tahoma" w:cs="Tahoma"/>
          <w:color w:val="000000"/>
          <w:sz w:val="20"/>
          <w:szCs w:val="20"/>
          <w:lang w:val="sr-Cyrl-CS"/>
        </w:rPr>
      </w:pPr>
      <w:r w:rsidRPr="006E3044">
        <w:rPr>
          <w:rFonts w:ascii="Tahoma" w:hAnsi="Tahoma" w:cs="Tahoma"/>
          <w:color w:val="000000"/>
          <w:sz w:val="20"/>
          <w:szCs w:val="20"/>
        </w:rPr>
        <w:t xml:space="preserve">Ова Одлука ступа на снагу </w:t>
      </w:r>
      <w:r w:rsidRPr="006E3044">
        <w:rPr>
          <w:rFonts w:ascii="Tahoma" w:hAnsi="Tahoma" w:cs="Tahoma"/>
          <w:color w:val="000000"/>
          <w:sz w:val="20"/>
          <w:szCs w:val="20"/>
          <w:lang w:val="sr-Cyrl-CS"/>
        </w:rPr>
        <w:t xml:space="preserve">наредног  </w:t>
      </w:r>
      <w:r w:rsidRPr="006E3044">
        <w:rPr>
          <w:rFonts w:ascii="Tahoma" w:hAnsi="Tahoma" w:cs="Tahoma"/>
          <w:color w:val="000000"/>
          <w:sz w:val="20"/>
          <w:szCs w:val="20"/>
        </w:rPr>
        <w:t>дана од дана објављивања у “Службеном листу општине Књажевац”</w:t>
      </w:r>
      <w:r w:rsidRPr="006E3044">
        <w:rPr>
          <w:rFonts w:ascii="Tahoma" w:hAnsi="Tahoma" w:cs="Tahoma"/>
          <w:color w:val="000000"/>
          <w:sz w:val="20"/>
          <w:szCs w:val="20"/>
          <w:lang w:val="sr-Cyrl-CS"/>
        </w:rPr>
        <w:t xml:space="preserve"> из разлога хитности почетка примене.</w:t>
      </w:r>
    </w:p>
    <w:p w:rsidR="007047BC" w:rsidRPr="006E3044" w:rsidRDefault="007047BC" w:rsidP="00423FD2">
      <w:pPr>
        <w:pStyle w:val="NormalWeb"/>
        <w:spacing w:after="0"/>
        <w:ind w:left="708" w:firstLine="12"/>
        <w:rPr>
          <w:rFonts w:ascii="Tahoma" w:hAnsi="Tahoma" w:cs="Tahoma"/>
          <w:sz w:val="20"/>
          <w:szCs w:val="20"/>
        </w:rPr>
      </w:pPr>
      <w:r w:rsidRPr="006E3044">
        <w:rPr>
          <w:rFonts w:ascii="Tahoma" w:hAnsi="Tahoma" w:cs="Tahoma"/>
          <w:sz w:val="20"/>
          <w:szCs w:val="20"/>
        </w:rPr>
        <w:t>Општинско веће општине Књажевац  је на својој седници ут</w:t>
      </w:r>
      <w:r w:rsidR="00233A62" w:rsidRPr="006E3044">
        <w:rPr>
          <w:rFonts w:ascii="Tahoma" w:hAnsi="Tahoma" w:cs="Tahoma"/>
          <w:sz w:val="20"/>
          <w:szCs w:val="20"/>
        </w:rPr>
        <w:t>врдило Предлог одлуке о измени и допуни</w:t>
      </w:r>
      <w:r w:rsidRPr="006E3044">
        <w:rPr>
          <w:rFonts w:ascii="Tahoma" w:hAnsi="Tahoma" w:cs="Tahoma"/>
          <w:sz w:val="20"/>
          <w:szCs w:val="20"/>
        </w:rPr>
        <w:t xml:space="preserve"> одлуке о буџету општине Књажевац за 20</w:t>
      </w:r>
      <w:r w:rsidR="0017481A">
        <w:rPr>
          <w:rFonts w:ascii="Tahoma" w:hAnsi="Tahoma" w:cs="Tahoma"/>
          <w:sz w:val="20"/>
          <w:szCs w:val="20"/>
        </w:rPr>
        <w:t>2</w:t>
      </w:r>
      <w:r w:rsidR="00423FD2">
        <w:rPr>
          <w:rFonts w:ascii="Tahoma" w:hAnsi="Tahoma" w:cs="Tahoma"/>
          <w:sz w:val="20"/>
          <w:szCs w:val="20"/>
          <w:lang w:val="sr-Cyrl-CS"/>
        </w:rPr>
        <w:t>1</w:t>
      </w:r>
      <w:r w:rsidRPr="006E3044">
        <w:rPr>
          <w:rFonts w:ascii="Tahoma" w:hAnsi="Tahoma" w:cs="Tahoma"/>
          <w:sz w:val="20"/>
          <w:szCs w:val="20"/>
        </w:rPr>
        <w:t>. годину  и предлаже Скупштини општине усвајање одлуке као у предлогу.</w:t>
      </w:r>
    </w:p>
    <w:p w:rsidR="007047BC" w:rsidRDefault="007047BC" w:rsidP="007047BC">
      <w:pPr>
        <w:ind w:firstLine="709"/>
        <w:jc w:val="both"/>
        <w:rPr>
          <w:rFonts w:ascii="Tahoma" w:hAnsi="Tahoma" w:cs="Tahoma"/>
          <w:sz w:val="20"/>
          <w:szCs w:val="20"/>
        </w:rPr>
      </w:pPr>
    </w:p>
    <w:p w:rsidR="00423FD2" w:rsidRPr="006E3044" w:rsidRDefault="00423FD2" w:rsidP="007047BC">
      <w:pPr>
        <w:ind w:firstLine="709"/>
        <w:jc w:val="both"/>
        <w:rPr>
          <w:rFonts w:ascii="Tahoma" w:hAnsi="Tahoma" w:cs="Tahoma"/>
          <w:sz w:val="20"/>
          <w:szCs w:val="20"/>
        </w:rPr>
      </w:pPr>
    </w:p>
    <w:p w:rsidR="007047BC" w:rsidRPr="006E3044" w:rsidRDefault="007047BC" w:rsidP="007047BC">
      <w:pPr>
        <w:ind w:firstLine="709"/>
        <w:rPr>
          <w:rFonts w:ascii="Tahoma" w:hAnsi="Tahoma" w:cs="Tahoma"/>
          <w:sz w:val="20"/>
          <w:szCs w:val="20"/>
        </w:rPr>
      </w:pPr>
    </w:p>
    <w:p w:rsidR="007047BC" w:rsidRPr="006E3044" w:rsidRDefault="007047BC" w:rsidP="007047BC">
      <w:pPr>
        <w:ind w:firstLine="708"/>
        <w:jc w:val="center"/>
        <w:rPr>
          <w:rFonts w:ascii="Tahoma" w:hAnsi="Tahoma" w:cs="Tahoma"/>
          <w:sz w:val="20"/>
          <w:szCs w:val="20"/>
        </w:rPr>
      </w:pPr>
      <w:r w:rsidRPr="006E3044">
        <w:rPr>
          <w:rFonts w:ascii="Tahoma" w:eastAsia="Times New Roman" w:hAnsi="Tahoma" w:cs="Tahoma"/>
          <w:b/>
          <w:sz w:val="20"/>
          <w:szCs w:val="20"/>
        </w:rPr>
        <w:t>ОПШТИНСКО  ВЕЋЕ  ОПШТИНЕ  КЊАЖЕВАЦ</w:t>
      </w:r>
    </w:p>
    <w:sectPr w:rsidR="007047BC" w:rsidRPr="006E3044" w:rsidSect="00246700">
      <w:pgSz w:w="15840" w:h="12240" w:orient="landscape"/>
      <w:pgMar w:top="1440" w:right="720" w:bottom="144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6BC" w:rsidRDefault="007166BC" w:rsidP="001D2EB5">
      <w:r>
        <w:separator/>
      </w:r>
    </w:p>
  </w:endnote>
  <w:endnote w:type="continuationSeparator" w:id="1">
    <w:p w:rsidR="007166BC" w:rsidRDefault="007166BC" w:rsidP="001D2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55626"/>
      <w:docPartObj>
        <w:docPartGallery w:val="Page Numbers (Bottom of Page)"/>
        <w:docPartUnique/>
      </w:docPartObj>
    </w:sdtPr>
    <w:sdtContent>
      <w:p w:rsidR="007166BC" w:rsidRDefault="007166BC">
        <w:pPr>
          <w:pStyle w:val="Footer"/>
          <w:jc w:val="center"/>
        </w:pPr>
        <w:fldSimple w:instr=" PAGE   \* MERGEFORMAT ">
          <w:r w:rsidR="00303313">
            <w:rPr>
              <w:noProof/>
            </w:rPr>
            <w:t>2</w:t>
          </w:r>
        </w:fldSimple>
      </w:p>
    </w:sdtContent>
  </w:sdt>
  <w:p w:rsidR="007166BC" w:rsidRDefault="00716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6BC" w:rsidRDefault="007166BC" w:rsidP="001D2EB5">
      <w:r>
        <w:separator/>
      </w:r>
    </w:p>
  </w:footnote>
  <w:footnote w:type="continuationSeparator" w:id="1">
    <w:p w:rsidR="007166BC" w:rsidRDefault="007166BC" w:rsidP="001D2E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0814FD"/>
    <w:multiLevelType w:val="hybridMultilevel"/>
    <w:tmpl w:val="26D2D354"/>
    <w:lvl w:ilvl="0" w:tplc="83D868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6674A"/>
    <w:multiLevelType w:val="multilevel"/>
    <w:tmpl w:val="88DCC14C"/>
    <w:lvl w:ilvl="0">
      <w:start w:val="1"/>
      <w:numFmt w:val="decimal"/>
      <w:lvlText w:val="%1"/>
      <w:lvlJc w:val="left"/>
      <w:pPr>
        <w:ind w:left="1035" w:hanging="1035"/>
      </w:pPr>
      <w:rPr>
        <w:rFonts w:hint="default"/>
      </w:rPr>
    </w:lvl>
    <w:lvl w:ilvl="1">
      <w:numFmt w:val="decimalZero"/>
      <w:lvlText w:val="%1.%2.0"/>
      <w:lvlJc w:val="left"/>
      <w:pPr>
        <w:ind w:left="1515" w:hanging="1035"/>
      </w:pPr>
      <w:rPr>
        <w:rFonts w:hint="default"/>
      </w:rPr>
    </w:lvl>
    <w:lvl w:ilvl="2">
      <w:start w:val="1"/>
      <w:numFmt w:val="decimalZero"/>
      <w:lvlText w:val="%1.%2.%3"/>
      <w:lvlJc w:val="left"/>
      <w:pPr>
        <w:ind w:left="1995" w:hanging="1035"/>
      </w:pPr>
      <w:rPr>
        <w:rFonts w:hint="default"/>
      </w:rPr>
    </w:lvl>
    <w:lvl w:ilvl="3">
      <w:start w:val="1"/>
      <w:numFmt w:val="decimal"/>
      <w:lvlText w:val="%1.%2.%3.%4"/>
      <w:lvlJc w:val="left"/>
      <w:pPr>
        <w:ind w:left="2475" w:hanging="1035"/>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1E765DCF"/>
    <w:multiLevelType w:val="hybridMultilevel"/>
    <w:tmpl w:val="53148A90"/>
    <w:lvl w:ilvl="0" w:tplc="D17E6356">
      <w:start w:val="12"/>
      <w:numFmt w:val="bullet"/>
      <w:lvlText w:val="-"/>
      <w:lvlJc w:val="left"/>
      <w:pPr>
        <w:ind w:left="1069" w:hanging="360"/>
      </w:pPr>
      <w:rPr>
        <w:rFonts w:ascii="Arial" w:eastAsia="Lucida Sans Unicode"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6C91F1A"/>
    <w:multiLevelType w:val="hybridMultilevel"/>
    <w:tmpl w:val="C87A704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2B9365FD"/>
    <w:multiLevelType w:val="hybridMultilevel"/>
    <w:tmpl w:val="72E09078"/>
    <w:lvl w:ilvl="0" w:tplc="9730967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BF72012"/>
    <w:multiLevelType w:val="hybridMultilevel"/>
    <w:tmpl w:val="C0BEE056"/>
    <w:lvl w:ilvl="0" w:tplc="E7DC9418">
      <w:numFmt w:val="bullet"/>
      <w:lvlText w:val="-"/>
      <w:lvlJc w:val="left"/>
      <w:pPr>
        <w:ind w:left="1069" w:hanging="360"/>
      </w:pPr>
      <w:rPr>
        <w:rFonts w:ascii="Arial" w:eastAsia="Lucida Sans Unicode"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426794E"/>
    <w:multiLevelType w:val="hybridMultilevel"/>
    <w:tmpl w:val="E6529AF2"/>
    <w:lvl w:ilvl="0" w:tplc="03703DA2">
      <w:numFmt w:val="bullet"/>
      <w:lvlText w:val="-"/>
      <w:lvlJc w:val="left"/>
      <w:pPr>
        <w:ind w:left="1068" w:hanging="360"/>
      </w:pPr>
      <w:rPr>
        <w:rFonts w:ascii="Arial" w:eastAsia="Lucida Sans Unicode"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5B6D3420"/>
    <w:multiLevelType w:val="hybridMultilevel"/>
    <w:tmpl w:val="3572BE1A"/>
    <w:lvl w:ilvl="0" w:tplc="912E16E2">
      <w:numFmt w:val="bullet"/>
      <w:lvlText w:val="-"/>
      <w:lvlJc w:val="left"/>
      <w:pPr>
        <w:ind w:left="1069" w:hanging="360"/>
      </w:pPr>
      <w:rPr>
        <w:rFonts w:ascii="Arial" w:eastAsia="Lucida Sans Unicode"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C7963AE"/>
    <w:multiLevelType w:val="hybridMultilevel"/>
    <w:tmpl w:val="9E72ED52"/>
    <w:lvl w:ilvl="0" w:tplc="64603C60">
      <w:numFmt w:val="bullet"/>
      <w:lvlText w:val="-"/>
      <w:lvlJc w:val="left"/>
      <w:pPr>
        <w:ind w:left="1069" w:hanging="360"/>
      </w:pPr>
      <w:rPr>
        <w:rFonts w:ascii="Arial" w:eastAsia="Lucida Sans Unicode"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EE935F9"/>
    <w:multiLevelType w:val="multilevel"/>
    <w:tmpl w:val="7B48E658"/>
    <w:lvl w:ilvl="0">
      <w:start w:val="1"/>
      <w:numFmt w:val="decimal"/>
      <w:lvlText w:val="%1"/>
      <w:lvlJc w:val="left"/>
      <w:pPr>
        <w:ind w:left="1035" w:hanging="1035"/>
      </w:pPr>
      <w:rPr>
        <w:rFonts w:hint="default"/>
      </w:rPr>
    </w:lvl>
    <w:lvl w:ilvl="1">
      <w:numFmt w:val="decimalZero"/>
      <w:lvlText w:val="%1.%2.0"/>
      <w:lvlJc w:val="left"/>
      <w:pPr>
        <w:ind w:left="1515" w:hanging="1035"/>
      </w:pPr>
      <w:rPr>
        <w:rFonts w:hint="default"/>
      </w:rPr>
    </w:lvl>
    <w:lvl w:ilvl="2">
      <w:start w:val="1"/>
      <w:numFmt w:val="decimalZero"/>
      <w:lvlText w:val="%1.%2.%3"/>
      <w:lvlJc w:val="left"/>
      <w:pPr>
        <w:ind w:left="1995" w:hanging="1035"/>
      </w:pPr>
      <w:rPr>
        <w:rFonts w:hint="default"/>
      </w:rPr>
    </w:lvl>
    <w:lvl w:ilvl="3">
      <w:start w:val="1"/>
      <w:numFmt w:val="decimal"/>
      <w:lvlText w:val="%1.%2.%3.%4"/>
      <w:lvlJc w:val="left"/>
      <w:pPr>
        <w:ind w:left="2475" w:hanging="1035"/>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7"/>
  </w:num>
  <w:num w:numId="3">
    <w:abstractNumId w:val="9"/>
  </w:num>
  <w:num w:numId="4">
    <w:abstractNumId w:val="8"/>
  </w:num>
  <w:num w:numId="5">
    <w:abstractNumId w:val="5"/>
  </w:num>
  <w:num w:numId="6">
    <w:abstractNumId w:val="4"/>
  </w:num>
  <w:num w:numId="7">
    <w:abstractNumId w:val="2"/>
  </w:num>
  <w:num w:numId="8">
    <w:abstractNumId w:val="10"/>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F18AD"/>
    <w:rsid w:val="00000C8F"/>
    <w:rsid w:val="0000105B"/>
    <w:rsid w:val="000036F2"/>
    <w:rsid w:val="000224F0"/>
    <w:rsid w:val="000548CC"/>
    <w:rsid w:val="000617DC"/>
    <w:rsid w:val="000852A2"/>
    <w:rsid w:val="00090303"/>
    <w:rsid w:val="00093D06"/>
    <w:rsid w:val="000A4E39"/>
    <w:rsid w:val="000B2F6E"/>
    <w:rsid w:val="000D01C7"/>
    <w:rsid w:val="000D3254"/>
    <w:rsid w:val="001029BE"/>
    <w:rsid w:val="00130B68"/>
    <w:rsid w:val="00132242"/>
    <w:rsid w:val="00144139"/>
    <w:rsid w:val="0017481A"/>
    <w:rsid w:val="001C0922"/>
    <w:rsid w:val="001C6E76"/>
    <w:rsid w:val="001D2EB5"/>
    <w:rsid w:val="001F0FF2"/>
    <w:rsid w:val="00213CBA"/>
    <w:rsid w:val="00216EC2"/>
    <w:rsid w:val="002256E5"/>
    <w:rsid w:val="00233A62"/>
    <w:rsid w:val="00246700"/>
    <w:rsid w:val="00247129"/>
    <w:rsid w:val="00251254"/>
    <w:rsid w:val="00252E80"/>
    <w:rsid w:val="002560FD"/>
    <w:rsid w:val="002608E1"/>
    <w:rsid w:val="0027188C"/>
    <w:rsid w:val="00286650"/>
    <w:rsid w:val="00287485"/>
    <w:rsid w:val="002A10A8"/>
    <w:rsid w:val="002B3745"/>
    <w:rsid w:val="00303313"/>
    <w:rsid w:val="003034E0"/>
    <w:rsid w:val="0031637E"/>
    <w:rsid w:val="00320424"/>
    <w:rsid w:val="00324F43"/>
    <w:rsid w:val="00327B9E"/>
    <w:rsid w:val="00342032"/>
    <w:rsid w:val="00361894"/>
    <w:rsid w:val="00384B02"/>
    <w:rsid w:val="00385821"/>
    <w:rsid w:val="00390F7E"/>
    <w:rsid w:val="003A560A"/>
    <w:rsid w:val="003B07B3"/>
    <w:rsid w:val="003C1C46"/>
    <w:rsid w:val="003D6CB7"/>
    <w:rsid w:val="00423FD2"/>
    <w:rsid w:val="00467066"/>
    <w:rsid w:val="00490697"/>
    <w:rsid w:val="004942B4"/>
    <w:rsid w:val="004E4456"/>
    <w:rsid w:val="004E4CB4"/>
    <w:rsid w:val="004F5AD7"/>
    <w:rsid w:val="005349CE"/>
    <w:rsid w:val="00540B34"/>
    <w:rsid w:val="0055654E"/>
    <w:rsid w:val="0055729C"/>
    <w:rsid w:val="00560A5D"/>
    <w:rsid w:val="00562FC5"/>
    <w:rsid w:val="005636C6"/>
    <w:rsid w:val="005E686E"/>
    <w:rsid w:val="00604CA0"/>
    <w:rsid w:val="00612725"/>
    <w:rsid w:val="00626964"/>
    <w:rsid w:val="0064415A"/>
    <w:rsid w:val="00672AF7"/>
    <w:rsid w:val="00694BEE"/>
    <w:rsid w:val="006A3D1E"/>
    <w:rsid w:val="006A78E3"/>
    <w:rsid w:val="006C142D"/>
    <w:rsid w:val="006D3B43"/>
    <w:rsid w:val="006E3044"/>
    <w:rsid w:val="006E43EA"/>
    <w:rsid w:val="006F7225"/>
    <w:rsid w:val="007047BC"/>
    <w:rsid w:val="007166BC"/>
    <w:rsid w:val="00722660"/>
    <w:rsid w:val="00727CD6"/>
    <w:rsid w:val="0075079C"/>
    <w:rsid w:val="00755286"/>
    <w:rsid w:val="00757B3C"/>
    <w:rsid w:val="0076778B"/>
    <w:rsid w:val="00783CBD"/>
    <w:rsid w:val="00796C78"/>
    <w:rsid w:val="007A712B"/>
    <w:rsid w:val="007F1B87"/>
    <w:rsid w:val="0080109E"/>
    <w:rsid w:val="0080333E"/>
    <w:rsid w:val="008200E4"/>
    <w:rsid w:val="0084381C"/>
    <w:rsid w:val="0086082A"/>
    <w:rsid w:val="00863A09"/>
    <w:rsid w:val="008655A7"/>
    <w:rsid w:val="00874618"/>
    <w:rsid w:val="00877600"/>
    <w:rsid w:val="008864D1"/>
    <w:rsid w:val="008936B4"/>
    <w:rsid w:val="008A6B40"/>
    <w:rsid w:val="008D06A3"/>
    <w:rsid w:val="008D4557"/>
    <w:rsid w:val="008F4500"/>
    <w:rsid w:val="008F4ADC"/>
    <w:rsid w:val="0090119B"/>
    <w:rsid w:val="00924349"/>
    <w:rsid w:val="00925C79"/>
    <w:rsid w:val="009429F9"/>
    <w:rsid w:val="00950144"/>
    <w:rsid w:val="009676C3"/>
    <w:rsid w:val="00992496"/>
    <w:rsid w:val="0099742F"/>
    <w:rsid w:val="009A0164"/>
    <w:rsid w:val="009B4C22"/>
    <w:rsid w:val="009B4C8D"/>
    <w:rsid w:val="009C216E"/>
    <w:rsid w:val="009C685C"/>
    <w:rsid w:val="009D7FBA"/>
    <w:rsid w:val="009E0C1D"/>
    <w:rsid w:val="009E7625"/>
    <w:rsid w:val="009F0B22"/>
    <w:rsid w:val="00A049DE"/>
    <w:rsid w:val="00A12C68"/>
    <w:rsid w:val="00A55582"/>
    <w:rsid w:val="00A637BB"/>
    <w:rsid w:val="00A65A06"/>
    <w:rsid w:val="00A85679"/>
    <w:rsid w:val="00AA1594"/>
    <w:rsid w:val="00AD71D9"/>
    <w:rsid w:val="00AE654E"/>
    <w:rsid w:val="00B00FBD"/>
    <w:rsid w:val="00B54C4E"/>
    <w:rsid w:val="00B5535A"/>
    <w:rsid w:val="00B555A2"/>
    <w:rsid w:val="00B636C0"/>
    <w:rsid w:val="00B8203A"/>
    <w:rsid w:val="00BA7812"/>
    <w:rsid w:val="00BD2644"/>
    <w:rsid w:val="00BD272A"/>
    <w:rsid w:val="00BF6E1B"/>
    <w:rsid w:val="00C1512D"/>
    <w:rsid w:val="00C50298"/>
    <w:rsid w:val="00C86B1F"/>
    <w:rsid w:val="00CC6BF7"/>
    <w:rsid w:val="00CE1A40"/>
    <w:rsid w:val="00CE4226"/>
    <w:rsid w:val="00CE4E59"/>
    <w:rsid w:val="00CF30BC"/>
    <w:rsid w:val="00D0070F"/>
    <w:rsid w:val="00D16059"/>
    <w:rsid w:val="00D25EA9"/>
    <w:rsid w:val="00D272E4"/>
    <w:rsid w:val="00D36837"/>
    <w:rsid w:val="00D51248"/>
    <w:rsid w:val="00D57647"/>
    <w:rsid w:val="00D6225E"/>
    <w:rsid w:val="00D70AD3"/>
    <w:rsid w:val="00D81AA5"/>
    <w:rsid w:val="00DA3E86"/>
    <w:rsid w:val="00DB0214"/>
    <w:rsid w:val="00DB1F41"/>
    <w:rsid w:val="00DB39BB"/>
    <w:rsid w:val="00DD1425"/>
    <w:rsid w:val="00DD2804"/>
    <w:rsid w:val="00DD38FA"/>
    <w:rsid w:val="00DF314C"/>
    <w:rsid w:val="00E11BEC"/>
    <w:rsid w:val="00E21F51"/>
    <w:rsid w:val="00E256F9"/>
    <w:rsid w:val="00E351A6"/>
    <w:rsid w:val="00E35764"/>
    <w:rsid w:val="00E35F8F"/>
    <w:rsid w:val="00E44CC4"/>
    <w:rsid w:val="00E53D91"/>
    <w:rsid w:val="00E56013"/>
    <w:rsid w:val="00E74072"/>
    <w:rsid w:val="00E74536"/>
    <w:rsid w:val="00E8125F"/>
    <w:rsid w:val="00E85C9C"/>
    <w:rsid w:val="00EA1452"/>
    <w:rsid w:val="00EA4ECD"/>
    <w:rsid w:val="00EB15A5"/>
    <w:rsid w:val="00EB2F98"/>
    <w:rsid w:val="00EB5A48"/>
    <w:rsid w:val="00EE5816"/>
    <w:rsid w:val="00F016B5"/>
    <w:rsid w:val="00F14F63"/>
    <w:rsid w:val="00F331A6"/>
    <w:rsid w:val="00F34296"/>
    <w:rsid w:val="00F51EE9"/>
    <w:rsid w:val="00F53D2B"/>
    <w:rsid w:val="00F65991"/>
    <w:rsid w:val="00FA4891"/>
    <w:rsid w:val="00FC1B80"/>
    <w:rsid w:val="00FC50E3"/>
    <w:rsid w:val="00FD2962"/>
    <w:rsid w:val="00FE0BE3"/>
    <w:rsid w:val="00FE4E87"/>
    <w:rsid w:val="00FF1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AD"/>
    <w:pPr>
      <w:widowControl w:val="0"/>
      <w:suppressAutoHyphens/>
      <w:spacing w:after="0" w:line="240" w:lineRule="auto"/>
    </w:pPr>
    <w:rPr>
      <w:rFonts w:ascii="Times New Roman" w:eastAsia="Lucida Sans Unicode" w:hAnsi="Times New Roman" w:cs="Times New Roman"/>
      <w:sz w:val="24"/>
      <w:szCs w:val="24"/>
      <w:lang w:val="sr-Cyrl-CS"/>
    </w:rPr>
  </w:style>
  <w:style w:type="paragraph" w:styleId="Heading1">
    <w:name w:val="heading 1"/>
    <w:basedOn w:val="Normal"/>
    <w:next w:val="Normal"/>
    <w:link w:val="Heading1Char"/>
    <w:qFormat/>
    <w:rsid w:val="00FF18AD"/>
    <w:pPr>
      <w:keepNext/>
      <w:tabs>
        <w:tab w:val="num" w:pos="0"/>
      </w:tabs>
      <w:outlineLvl w:val="0"/>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8AD"/>
    <w:rPr>
      <w:rFonts w:ascii="Tahoma" w:eastAsia="Lucida Sans Unicode" w:hAnsi="Tahoma" w:cs="Times New Roman"/>
      <w:sz w:val="24"/>
      <w:szCs w:val="24"/>
      <w:lang w:val="sr-Cyrl-CS"/>
    </w:rPr>
  </w:style>
  <w:style w:type="paragraph" w:styleId="Title">
    <w:name w:val="Title"/>
    <w:basedOn w:val="Normal"/>
    <w:next w:val="Subtitle"/>
    <w:link w:val="TitleChar"/>
    <w:qFormat/>
    <w:rsid w:val="00FF18AD"/>
    <w:pPr>
      <w:jc w:val="center"/>
    </w:pPr>
    <w:rPr>
      <w:rFonts w:ascii="Tahoma" w:hAnsi="Tahoma"/>
      <w:b/>
    </w:rPr>
  </w:style>
  <w:style w:type="paragraph" w:styleId="Subtitle">
    <w:name w:val="Subtitle"/>
    <w:basedOn w:val="Normal"/>
    <w:next w:val="BodyText"/>
    <w:link w:val="SubtitleChar"/>
    <w:qFormat/>
    <w:rsid w:val="00FF18AD"/>
    <w:pPr>
      <w:keepNext/>
      <w:spacing w:before="240" w:after="120"/>
      <w:jc w:val="center"/>
    </w:pPr>
    <w:rPr>
      <w:rFonts w:ascii="Arial" w:hAnsi="Arial" w:cs="Tahoma"/>
      <w:i/>
      <w:iCs/>
      <w:sz w:val="28"/>
      <w:szCs w:val="28"/>
    </w:rPr>
  </w:style>
  <w:style w:type="paragraph" w:styleId="BodyText">
    <w:name w:val="Body Text"/>
    <w:basedOn w:val="Normal"/>
    <w:link w:val="BodyTextChar"/>
    <w:uiPriority w:val="99"/>
    <w:semiHidden/>
    <w:unhideWhenUsed/>
    <w:rsid w:val="00FF18AD"/>
    <w:pPr>
      <w:spacing w:after="120"/>
    </w:pPr>
  </w:style>
  <w:style w:type="character" w:customStyle="1" w:styleId="BodyTextChar">
    <w:name w:val="Body Text Char"/>
    <w:basedOn w:val="DefaultParagraphFont"/>
    <w:link w:val="BodyText"/>
    <w:uiPriority w:val="99"/>
    <w:semiHidden/>
    <w:rsid w:val="00FF18AD"/>
    <w:rPr>
      <w:rFonts w:ascii="Times New Roman" w:eastAsia="Lucida Sans Unicode" w:hAnsi="Times New Roman" w:cs="Times New Roman"/>
      <w:sz w:val="24"/>
      <w:szCs w:val="24"/>
      <w:lang w:val="sr-Cyrl-CS"/>
    </w:rPr>
  </w:style>
  <w:style w:type="character" w:customStyle="1" w:styleId="SubtitleChar">
    <w:name w:val="Subtitle Char"/>
    <w:basedOn w:val="DefaultParagraphFont"/>
    <w:link w:val="Subtitle"/>
    <w:rsid w:val="00FF18AD"/>
    <w:rPr>
      <w:rFonts w:ascii="Arial" w:eastAsia="Lucida Sans Unicode" w:hAnsi="Arial" w:cs="Tahoma"/>
      <w:i/>
      <w:iCs/>
      <w:sz w:val="28"/>
      <w:szCs w:val="28"/>
      <w:lang w:val="sr-Cyrl-CS"/>
    </w:rPr>
  </w:style>
  <w:style w:type="character" w:customStyle="1" w:styleId="TitleChar">
    <w:name w:val="Title Char"/>
    <w:basedOn w:val="DefaultParagraphFont"/>
    <w:link w:val="Title"/>
    <w:rsid w:val="00FF18AD"/>
    <w:rPr>
      <w:rFonts w:ascii="Tahoma" w:eastAsia="Lucida Sans Unicode" w:hAnsi="Tahoma" w:cs="Times New Roman"/>
      <w:b/>
      <w:sz w:val="24"/>
      <w:szCs w:val="24"/>
      <w:lang w:val="sr-Cyrl-CS"/>
    </w:rPr>
  </w:style>
  <w:style w:type="paragraph" w:styleId="ListParagraph">
    <w:name w:val="List Paragraph"/>
    <w:basedOn w:val="Normal"/>
    <w:uiPriority w:val="34"/>
    <w:qFormat/>
    <w:rsid w:val="00DA3E86"/>
    <w:pPr>
      <w:ind w:left="720"/>
      <w:contextualSpacing/>
    </w:pPr>
  </w:style>
  <w:style w:type="table" w:styleId="TableGrid">
    <w:name w:val="Table Grid"/>
    <w:basedOn w:val="TableNormal"/>
    <w:uiPriority w:val="59"/>
    <w:rsid w:val="00F14F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F51EE9"/>
    <w:pPr>
      <w:widowControl/>
      <w:suppressAutoHyphens w:val="0"/>
      <w:spacing w:before="100" w:beforeAutospacing="1" w:after="119"/>
    </w:pPr>
    <w:rPr>
      <w:rFonts w:eastAsia="Times New Roman"/>
      <w:lang w:val="sr-Latn-CS" w:eastAsia="sr-Latn-CS"/>
    </w:rPr>
  </w:style>
  <w:style w:type="paragraph" w:styleId="Header">
    <w:name w:val="header"/>
    <w:basedOn w:val="Normal"/>
    <w:link w:val="HeaderChar"/>
    <w:uiPriority w:val="99"/>
    <w:semiHidden/>
    <w:unhideWhenUsed/>
    <w:rsid w:val="001D2EB5"/>
    <w:pPr>
      <w:tabs>
        <w:tab w:val="center" w:pos="4680"/>
        <w:tab w:val="right" w:pos="9360"/>
      </w:tabs>
    </w:pPr>
  </w:style>
  <w:style w:type="character" w:customStyle="1" w:styleId="HeaderChar">
    <w:name w:val="Header Char"/>
    <w:basedOn w:val="DefaultParagraphFont"/>
    <w:link w:val="Header"/>
    <w:uiPriority w:val="99"/>
    <w:semiHidden/>
    <w:rsid w:val="001D2EB5"/>
    <w:rPr>
      <w:rFonts w:ascii="Times New Roman" w:eastAsia="Lucida Sans Unicode" w:hAnsi="Times New Roman" w:cs="Times New Roman"/>
      <w:sz w:val="24"/>
      <w:szCs w:val="24"/>
      <w:lang w:val="sr-Cyrl-CS"/>
    </w:rPr>
  </w:style>
  <w:style w:type="paragraph" w:styleId="Footer">
    <w:name w:val="footer"/>
    <w:basedOn w:val="Normal"/>
    <w:link w:val="FooterChar"/>
    <w:uiPriority w:val="99"/>
    <w:unhideWhenUsed/>
    <w:rsid w:val="001D2EB5"/>
    <w:pPr>
      <w:tabs>
        <w:tab w:val="center" w:pos="4680"/>
        <w:tab w:val="right" w:pos="9360"/>
      </w:tabs>
    </w:pPr>
  </w:style>
  <w:style w:type="character" w:customStyle="1" w:styleId="FooterChar">
    <w:name w:val="Footer Char"/>
    <w:basedOn w:val="DefaultParagraphFont"/>
    <w:link w:val="Footer"/>
    <w:uiPriority w:val="99"/>
    <w:rsid w:val="001D2EB5"/>
    <w:rPr>
      <w:rFonts w:ascii="Times New Roman" w:eastAsia="Lucida Sans Unicode" w:hAnsi="Times New Roman" w:cs="Times New Roman"/>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11360">
      <w:bodyDiv w:val="1"/>
      <w:marLeft w:val="0"/>
      <w:marRight w:val="0"/>
      <w:marTop w:val="0"/>
      <w:marBottom w:val="0"/>
      <w:divBdr>
        <w:top w:val="none" w:sz="0" w:space="0" w:color="auto"/>
        <w:left w:val="none" w:sz="0" w:space="0" w:color="auto"/>
        <w:bottom w:val="none" w:sz="0" w:space="0" w:color="auto"/>
        <w:right w:val="none" w:sz="0" w:space="0" w:color="auto"/>
      </w:divBdr>
    </w:div>
    <w:div w:id="961230431">
      <w:bodyDiv w:val="1"/>
      <w:marLeft w:val="0"/>
      <w:marRight w:val="0"/>
      <w:marTop w:val="0"/>
      <w:marBottom w:val="0"/>
      <w:divBdr>
        <w:top w:val="none" w:sz="0" w:space="0" w:color="auto"/>
        <w:left w:val="none" w:sz="0" w:space="0" w:color="auto"/>
        <w:bottom w:val="none" w:sz="0" w:space="0" w:color="auto"/>
        <w:right w:val="none" w:sz="0" w:space="0" w:color="auto"/>
      </w:divBdr>
    </w:div>
    <w:div w:id="1079670403">
      <w:bodyDiv w:val="1"/>
      <w:marLeft w:val="0"/>
      <w:marRight w:val="0"/>
      <w:marTop w:val="0"/>
      <w:marBottom w:val="0"/>
      <w:divBdr>
        <w:top w:val="none" w:sz="0" w:space="0" w:color="auto"/>
        <w:left w:val="none" w:sz="0" w:space="0" w:color="auto"/>
        <w:bottom w:val="none" w:sz="0" w:space="0" w:color="auto"/>
        <w:right w:val="none" w:sz="0" w:space="0" w:color="auto"/>
      </w:divBdr>
    </w:div>
    <w:div w:id="1236092599">
      <w:bodyDiv w:val="1"/>
      <w:marLeft w:val="0"/>
      <w:marRight w:val="0"/>
      <w:marTop w:val="0"/>
      <w:marBottom w:val="0"/>
      <w:divBdr>
        <w:top w:val="none" w:sz="0" w:space="0" w:color="auto"/>
        <w:left w:val="none" w:sz="0" w:space="0" w:color="auto"/>
        <w:bottom w:val="none" w:sz="0" w:space="0" w:color="auto"/>
        <w:right w:val="none" w:sz="0" w:space="0" w:color="auto"/>
      </w:divBdr>
    </w:div>
    <w:div w:id="1579484733">
      <w:bodyDiv w:val="1"/>
      <w:marLeft w:val="0"/>
      <w:marRight w:val="0"/>
      <w:marTop w:val="0"/>
      <w:marBottom w:val="0"/>
      <w:divBdr>
        <w:top w:val="none" w:sz="0" w:space="0" w:color="auto"/>
        <w:left w:val="none" w:sz="0" w:space="0" w:color="auto"/>
        <w:bottom w:val="none" w:sz="0" w:space="0" w:color="auto"/>
        <w:right w:val="none" w:sz="0" w:space="0" w:color="auto"/>
      </w:divBdr>
    </w:div>
    <w:div w:id="1614439684">
      <w:bodyDiv w:val="1"/>
      <w:marLeft w:val="0"/>
      <w:marRight w:val="0"/>
      <w:marTop w:val="0"/>
      <w:marBottom w:val="0"/>
      <w:divBdr>
        <w:top w:val="none" w:sz="0" w:space="0" w:color="auto"/>
        <w:left w:val="none" w:sz="0" w:space="0" w:color="auto"/>
        <w:bottom w:val="none" w:sz="0" w:space="0" w:color="auto"/>
        <w:right w:val="none" w:sz="0" w:space="0" w:color="auto"/>
      </w:divBdr>
    </w:div>
    <w:div w:id="1684209840">
      <w:bodyDiv w:val="1"/>
      <w:marLeft w:val="0"/>
      <w:marRight w:val="0"/>
      <w:marTop w:val="0"/>
      <w:marBottom w:val="0"/>
      <w:divBdr>
        <w:top w:val="none" w:sz="0" w:space="0" w:color="auto"/>
        <w:left w:val="none" w:sz="0" w:space="0" w:color="auto"/>
        <w:bottom w:val="none" w:sz="0" w:space="0" w:color="auto"/>
        <w:right w:val="none" w:sz="0" w:space="0" w:color="auto"/>
      </w:divBdr>
    </w:div>
    <w:div w:id="1701935852">
      <w:bodyDiv w:val="1"/>
      <w:marLeft w:val="0"/>
      <w:marRight w:val="0"/>
      <w:marTop w:val="0"/>
      <w:marBottom w:val="0"/>
      <w:divBdr>
        <w:top w:val="none" w:sz="0" w:space="0" w:color="auto"/>
        <w:left w:val="none" w:sz="0" w:space="0" w:color="auto"/>
        <w:bottom w:val="none" w:sz="0" w:space="0" w:color="auto"/>
        <w:right w:val="none" w:sz="0" w:space="0" w:color="auto"/>
      </w:divBdr>
    </w:div>
    <w:div w:id="1782650670">
      <w:bodyDiv w:val="1"/>
      <w:marLeft w:val="0"/>
      <w:marRight w:val="0"/>
      <w:marTop w:val="0"/>
      <w:marBottom w:val="0"/>
      <w:divBdr>
        <w:top w:val="none" w:sz="0" w:space="0" w:color="auto"/>
        <w:left w:val="none" w:sz="0" w:space="0" w:color="auto"/>
        <w:bottom w:val="none" w:sz="0" w:space="0" w:color="auto"/>
        <w:right w:val="none" w:sz="0" w:space="0" w:color="auto"/>
      </w:divBdr>
    </w:div>
    <w:div w:id="1821539623">
      <w:bodyDiv w:val="1"/>
      <w:marLeft w:val="0"/>
      <w:marRight w:val="0"/>
      <w:marTop w:val="0"/>
      <w:marBottom w:val="0"/>
      <w:divBdr>
        <w:top w:val="none" w:sz="0" w:space="0" w:color="auto"/>
        <w:left w:val="none" w:sz="0" w:space="0" w:color="auto"/>
        <w:bottom w:val="none" w:sz="0" w:space="0" w:color="auto"/>
        <w:right w:val="none" w:sz="0" w:space="0" w:color="auto"/>
      </w:divBdr>
    </w:div>
    <w:div w:id="19094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64E2-CFA7-43A1-929E-D4665800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cp:lastPrinted>2021-08-30T09:07:00Z</cp:lastPrinted>
  <dcterms:created xsi:type="dcterms:W3CDTF">2020-11-22T23:13:00Z</dcterms:created>
  <dcterms:modified xsi:type="dcterms:W3CDTF">2021-08-30T10:24:00Z</dcterms:modified>
</cp:coreProperties>
</file>